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4D03A0B" w:rsidR="00B4555A" w:rsidRPr="00944A14" w:rsidRDefault="00FB7387" w:rsidP="00B4555A">
      <w:pPr>
        <w:pStyle w:val="berschrift1"/>
        <w:spacing w:before="720" w:after="720" w:line="260" w:lineRule="exact"/>
        <w:rPr>
          <w:sz w:val="20"/>
        </w:rPr>
      </w:pPr>
      <w:r>
        <w:rPr>
          <w:sz w:val="20"/>
        </w:rPr>
        <w:t>PRESS RELEASE</w:t>
      </w:r>
    </w:p>
    <w:p w14:paraId="59879415" w14:textId="5867D8F8"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launches its partner program</w:t>
      </w:r>
    </w:p>
    <w:p w14:paraId="4148C797" w14:textId="673E954E"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Together on Course for Innovation</w:t>
      </w:r>
    </w:p>
    <w:p w14:paraId="472F5B16" w14:textId="571107B1"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FB7387">
        <w:rPr>
          <w:rFonts w:ascii="Arial" w:hAnsi="Arial"/>
          <w:color w:val="000000"/>
        </w:rPr>
        <w:t xml:space="preserve"> (</w:t>
      </w:r>
      <w:r>
        <w:rPr>
          <w:rFonts w:ascii="Arial" w:hAnsi="Arial"/>
          <w:color w:val="000000"/>
        </w:rPr>
        <w:t>Germany</w:t>
      </w:r>
      <w:r w:rsidR="00FB7387">
        <w:rPr>
          <w:rFonts w:ascii="Arial" w:hAnsi="Arial"/>
          <w:color w:val="000000"/>
        </w:rPr>
        <w:t>)</w:t>
      </w:r>
      <w:r>
        <w:rPr>
          <w:rFonts w:ascii="Arial" w:hAnsi="Arial"/>
          <w:color w:val="000000"/>
        </w:rPr>
        <w:t xml:space="preserve">, </w:t>
      </w:r>
      <w:r w:rsidR="002100D9">
        <w:rPr>
          <w:rFonts w:ascii="Arial" w:hAnsi="Arial"/>
          <w:color w:val="000000"/>
        </w:rPr>
        <w:t>February</w:t>
      </w:r>
      <w:r>
        <w:rPr>
          <w:rFonts w:ascii="Arial" w:hAnsi="Arial"/>
          <w:color w:val="000000"/>
        </w:rPr>
        <w:t xml:space="preserve"> </w:t>
      </w:r>
      <w:r w:rsidR="002100D9">
        <w:rPr>
          <w:rFonts w:ascii="Arial" w:hAnsi="Arial"/>
          <w:color w:val="000000"/>
        </w:rPr>
        <w:t>5</w:t>
      </w:r>
      <w:r>
        <w:rPr>
          <w:rFonts w:ascii="Arial" w:hAnsi="Arial"/>
          <w:color w:val="000000"/>
        </w:rPr>
        <w:t>, 202</w:t>
      </w:r>
      <w:r w:rsidR="00E37568">
        <w:rPr>
          <w:rFonts w:ascii="Arial" w:hAnsi="Arial"/>
          <w:color w:val="000000"/>
        </w:rPr>
        <w:t>6</w:t>
      </w:r>
      <w:r>
        <w:rPr>
          <w:rFonts w:ascii="Arial" w:hAnsi="Arial"/>
          <w:color w:val="000000"/>
        </w:rPr>
        <w:t xml:space="preserve"> – Würth Elektronik, a manufacturer of passive components, has launched onboarding for its new partner program with a kick-off event held at the </w:t>
      </w:r>
      <w:r w:rsidR="00713112">
        <w:rPr>
          <w:rFonts w:ascii="Arial" w:hAnsi="Arial"/>
          <w:color w:val="000000"/>
        </w:rPr>
        <w:t>P</w:t>
      </w:r>
      <w:r>
        <w:rPr>
          <w:rFonts w:ascii="Arial" w:hAnsi="Arial"/>
          <w:color w:val="000000"/>
        </w:rPr>
        <w:t xml:space="preserve">remium </w:t>
      </w:r>
      <w:r w:rsidR="00713112">
        <w:rPr>
          <w:rFonts w:ascii="Arial" w:hAnsi="Arial"/>
          <w:color w:val="000000"/>
        </w:rPr>
        <w:t>P</w:t>
      </w:r>
      <w:r>
        <w:rPr>
          <w:rFonts w:ascii="Arial" w:hAnsi="Arial"/>
          <w:color w:val="000000"/>
        </w:rPr>
        <w:t xml:space="preserve">artner Texas Instruments. The three-tier model provides clearly structured support to participating companies across four levels. </w:t>
      </w:r>
    </w:p>
    <w:p w14:paraId="21A7EFC9" w14:textId="70D724E5" w:rsidR="00676E88" w:rsidRDefault="00881C88" w:rsidP="00303737">
      <w:pPr>
        <w:pStyle w:val="Textkrper"/>
        <w:spacing w:before="120" w:after="120" w:line="260" w:lineRule="exact"/>
        <w:jc w:val="both"/>
        <w:rPr>
          <w:rFonts w:ascii="Arial" w:hAnsi="Arial"/>
          <w:b w:val="0"/>
          <w:bCs w:val="0"/>
        </w:rPr>
      </w:pPr>
      <w:r>
        <w:rPr>
          <w:rFonts w:ascii="Arial" w:hAnsi="Arial"/>
          <w:b w:val="0"/>
        </w:rPr>
        <w:t xml:space="preserve">“More than ever before, partnerships offer the opportunity to accelerate innovation through synergies and to actively shape the future together,” emphasizes Alexander Gerfer, CTO of the Würth Elektronik eiSos Group. “We launched our partner program to create a dynamic, high-growth innovation ecosystem in the electronics industry.” The program was officially presented at a kick-off event at the end of September, where Texas Instruments was presented as the first Premium Partner. The globally semiconductor manufacturer </w:t>
      </w:r>
      <w:proofErr w:type="spellStart"/>
      <w:r>
        <w:rPr>
          <w:rFonts w:ascii="Arial" w:hAnsi="Arial"/>
          <w:b w:val="0"/>
        </w:rPr>
        <w:t>Nexperia</w:t>
      </w:r>
      <w:proofErr w:type="spellEnd"/>
      <w:r>
        <w:rPr>
          <w:rFonts w:ascii="Arial" w:hAnsi="Arial"/>
          <w:b w:val="0"/>
        </w:rPr>
        <w:t xml:space="preserve"> has also signed up as a Silver Partner.</w:t>
      </w:r>
    </w:p>
    <w:p w14:paraId="15783A75" w14:textId="633F14E2" w:rsidR="00303737" w:rsidRPr="00676E88" w:rsidRDefault="00676E88" w:rsidP="00303737">
      <w:pPr>
        <w:pStyle w:val="Textkrper"/>
        <w:spacing w:before="120" w:after="120" w:line="260" w:lineRule="exact"/>
        <w:jc w:val="both"/>
        <w:rPr>
          <w:rFonts w:ascii="Arial" w:hAnsi="Arial"/>
          <w:bCs w:val="0"/>
        </w:rPr>
      </w:pPr>
      <w:r>
        <w:rPr>
          <w:rFonts w:ascii="Arial" w:hAnsi="Arial"/>
        </w:rPr>
        <w:t>Three partnership tiers</w:t>
      </w:r>
    </w:p>
    <w:p w14:paraId="311E4F2D" w14:textId="4986859C" w:rsidR="00215B53" w:rsidRDefault="00215B53" w:rsidP="00676E88">
      <w:pPr>
        <w:pStyle w:val="Textkrper"/>
        <w:spacing w:before="120" w:after="120" w:line="260" w:lineRule="exact"/>
        <w:jc w:val="both"/>
        <w:rPr>
          <w:rFonts w:ascii="Arial" w:hAnsi="Arial"/>
          <w:b w:val="0"/>
          <w:bCs w:val="0"/>
        </w:rPr>
      </w:pPr>
      <w:r>
        <w:rPr>
          <w:rFonts w:ascii="Arial" w:hAnsi="Arial"/>
          <w:b w:val="0"/>
        </w:rPr>
        <w:t>The Würth Elektronik partner program is divided into three tiers. Entry is possible with just a non-disclosure agreement, a brand license, and a business model. Based on clearly defined criteria – such as brand commitment, shared growth objectives, and the integration of Würth Elektronik components into their own designs – participating companies can then progressively advance from Entry Level through Silver to Premium Partner status.</w:t>
      </w:r>
    </w:p>
    <w:p w14:paraId="10CCB688" w14:textId="520349E9" w:rsidR="008A3980" w:rsidRPr="008A3980" w:rsidRDefault="008A3980" w:rsidP="00676E88">
      <w:pPr>
        <w:pStyle w:val="Textkrper"/>
        <w:spacing w:before="120" w:after="120" w:line="260" w:lineRule="exact"/>
        <w:jc w:val="both"/>
        <w:rPr>
          <w:rFonts w:ascii="Arial" w:hAnsi="Arial"/>
        </w:rPr>
      </w:pPr>
      <w:r>
        <w:rPr>
          <w:rFonts w:ascii="Arial" w:hAnsi="Arial"/>
        </w:rPr>
        <w:t>Four support pillars</w:t>
      </w:r>
    </w:p>
    <w:p w14:paraId="343882BF" w14:textId="7E051079" w:rsidR="00676E88" w:rsidRDefault="00676E88" w:rsidP="00676E88">
      <w:pPr>
        <w:pStyle w:val="Textkrper"/>
        <w:spacing w:before="120" w:after="120" w:line="260" w:lineRule="exact"/>
        <w:jc w:val="both"/>
        <w:rPr>
          <w:rFonts w:ascii="Arial" w:hAnsi="Arial"/>
          <w:b w:val="0"/>
          <w:bCs w:val="0"/>
        </w:rPr>
      </w:pPr>
      <w:r>
        <w:rPr>
          <w:rFonts w:ascii="Arial" w:hAnsi="Arial"/>
          <w:b w:val="0"/>
        </w:rPr>
        <w:t xml:space="preserve">Würth Elektronik offers a dedicated service and support program based on the three partnership tiers. It consists of four pillars: technical support, products and tools, marketing support, </w:t>
      </w:r>
      <w:r w:rsidR="00D63571">
        <w:rPr>
          <w:rFonts w:ascii="Arial" w:hAnsi="Arial"/>
          <w:b w:val="0"/>
        </w:rPr>
        <w:t>and</w:t>
      </w:r>
      <w:r>
        <w:rPr>
          <w:rFonts w:ascii="Arial" w:hAnsi="Arial"/>
          <w:b w:val="0"/>
        </w:rPr>
        <w:t xml:space="preserve"> knowledge transfer and training. This creates a high-performance network that brings together technology leaders, business units, and stakeholders. Partners can unlock new market potential, accelerate product innovation, and offer their customers a seamless one-stop-shop concept.</w:t>
      </w:r>
    </w:p>
    <w:p w14:paraId="0A3D8CA6" w14:textId="6C14CB42" w:rsidR="00565F6D" w:rsidRPr="00676E88" w:rsidRDefault="00565F6D" w:rsidP="00676E88">
      <w:pPr>
        <w:pStyle w:val="Textkrper"/>
        <w:spacing w:before="120" w:after="120" w:line="260" w:lineRule="exact"/>
        <w:jc w:val="both"/>
        <w:rPr>
          <w:rFonts w:ascii="Arial" w:hAnsi="Arial"/>
          <w:b w:val="0"/>
          <w:bCs w:val="0"/>
        </w:rPr>
      </w:pPr>
      <w:r>
        <w:rPr>
          <w:rFonts w:ascii="Arial" w:hAnsi="Arial"/>
          <w:b w:val="0"/>
        </w:rPr>
        <w:t>“True to our mission of ‘creating together,’ partnership is at the heart of our success strategy,” concludes Alexander Gerfer. “Joint development, mutual trust, and shared success are the driving forces behind our continued growth. This partner program brings expertise together, builds bridges within the industry, and forms a solid foundation for shared business success.”</w:t>
      </w:r>
    </w:p>
    <w:p w14:paraId="16E5EB79" w14:textId="77777777" w:rsidR="002F07DB" w:rsidRDefault="008A3980" w:rsidP="002F07DB">
      <w:pPr>
        <w:spacing w:before="120" w:after="120" w:line="260" w:lineRule="exact"/>
        <w:jc w:val="both"/>
        <w:rPr>
          <w:rFonts w:ascii="Arial" w:hAnsi="Arial"/>
          <w:sz w:val="20"/>
        </w:rPr>
      </w:pPr>
      <w:r>
        <w:rPr>
          <w:rFonts w:ascii="Arial" w:hAnsi="Arial"/>
          <w:sz w:val="20"/>
        </w:rPr>
        <w:t>Further information on the Würth Elektronik partner program and the possibilities for participation can be found at:</w:t>
      </w:r>
    </w:p>
    <w:p w14:paraId="69738283" w14:textId="3F8971F7" w:rsidR="00565F6D" w:rsidRDefault="008A3980" w:rsidP="002F07DB">
      <w:pPr>
        <w:spacing w:before="120" w:after="120" w:line="260" w:lineRule="exact"/>
        <w:jc w:val="both"/>
        <w:rPr>
          <w:rFonts w:ascii="Arial" w:hAnsi="Arial" w:cs="Arial"/>
          <w:sz w:val="20"/>
          <w:szCs w:val="20"/>
        </w:rPr>
      </w:pPr>
      <w:hyperlink r:id="rId8" w:history="1">
        <w:r>
          <w:rPr>
            <w:rStyle w:val="Hyperlink"/>
            <w:rFonts w:ascii="Arial" w:hAnsi="Arial"/>
            <w:sz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7653B424" w14:textId="77777777" w:rsidR="00485E6F" w:rsidRPr="00FB7387" w:rsidRDefault="00485E6F" w:rsidP="00485E6F">
      <w:pPr>
        <w:pStyle w:val="PITextkrper"/>
        <w:pBdr>
          <w:top w:val="single" w:sz="4" w:space="1" w:color="auto"/>
        </w:pBdr>
        <w:spacing w:before="240"/>
        <w:rPr>
          <w:b/>
          <w:sz w:val="18"/>
          <w:szCs w:val="18"/>
        </w:rPr>
      </w:pPr>
    </w:p>
    <w:p w14:paraId="53FA2058" w14:textId="77777777" w:rsidR="002100D9" w:rsidRPr="00A91DDF" w:rsidRDefault="002100D9" w:rsidP="002100D9">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3DB7BD70" w:rsidR="00485E6F" w:rsidRDefault="002100D9" w:rsidP="002100D9">
      <w:pPr>
        <w:spacing w:after="120" w:line="280" w:lineRule="exact"/>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5EA448FA" w14:textId="2AC6D4EB" w:rsidR="00B150EF" w:rsidRPr="00B150EF" w:rsidRDefault="00B150EF" w:rsidP="00B150EF">
            <w:pPr>
              <w:pStyle w:val="txt"/>
              <w:rPr>
                <w:bCs/>
                <w:sz w:val="16"/>
                <w:szCs w:val="16"/>
              </w:rPr>
            </w:pPr>
            <w:r>
              <w:rPr>
                <w:b/>
              </w:rPr>
              <w:br/>
            </w:r>
            <w:r>
              <w:rPr>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Image source: Würth Elektronik</w:t>
            </w:r>
          </w:p>
          <w:p w14:paraId="7CAA30F8" w14:textId="0CF8484B" w:rsidR="00B150EF" w:rsidRPr="00B150EF" w:rsidRDefault="00B150EF" w:rsidP="00B150EF">
            <w:pPr>
              <w:pStyle w:val="txt"/>
              <w:rPr>
                <w:b/>
                <w:bCs/>
                <w:sz w:val="18"/>
                <w:szCs w:val="18"/>
              </w:rPr>
            </w:pPr>
            <w:r>
              <w:rPr>
                <w:b/>
                <w:sz w:val="18"/>
              </w:rPr>
              <w:t>Würth Elektronik’s three-tier partner program: dynamic innovation ecosystem in the electronics industry</w:t>
            </w:r>
            <w:r>
              <w:rPr>
                <w:b/>
                <w:sz w:val="18"/>
              </w:rPr>
              <w:br/>
            </w:r>
          </w:p>
        </w:tc>
      </w:tr>
    </w:tbl>
    <w:p w14:paraId="75CDC9EA" w14:textId="64538A0E" w:rsidR="00B150EF" w:rsidRPr="00B150EF" w:rsidRDefault="00B150EF" w:rsidP="002F07DB">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14498158" w14:textId="1E481168" w:rsidR="00B150EF" w:rsidRPr="00B150EF" w:rsidRDefault="00485E6F" w:rsidP="00B150EF">
            <w:pPr>
              <w:pStyle w:val="txt"/>
              <w:rPr>
                <w:b/>
                <w:bCs/>
                <w:sz w:val="18"/>
              </w:rPr>
            </w:pPr>
            <w:r>
              <w:rPr>
                <w:b/>
              </w:rPr>
              <w:br/>
            </w:r>
            <w:r>
              <w:rPr>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Image source: Würth Elektronik</w:t>
            </w:r>
          </w:p>
          <w:p w14:paraId="5ED23578" w14:textId="73B90ED0" w:rsidR="00485E6F" w:rsidRPr="00944A14" w:rsidRDefault="00B150EF" w:rsidP="00B150EF">
            <w:pPr>
              <w:pStyle w:val="txt"/>
              <w:rPr>
                <w:b/>
                <w:bCs/>
                <w:sz w:val="18"/>
                <w:szCs w:val="18"/>
              </w:rPr>
            </w:pPr>
            <w:r>
              <w:rPr>
                <w:b/>
                <w:sz w:val="18"/>
              </w:rPr>
              <w:t>Comprehensive support program: Depending on their partnership level, participants receive expert support in four areas.</w:t>
            </w:r>
            <w:r>
              <w:rPr>
                <w:b/>
                <w:sz w:val="18"/>
              </w:rPr>
              <w:br/>
            </w:r>
          </w:p>
        </w:tc>
      </w:tr>
    </w:tbl>
    <w:p w14:paraId="3D0B2672" w14:textId="42FA3CC4" w:rsidR="008E6B13" w:rsidRDefault="008E6B13">
      <w:pPr>
        <w:rPr>
          <w:rFonts w:ascii="Arial" w:hAnsi="Arial" w:cs="Arial"/>
          <w:sz w:val="20"/>
          <w:szCs w:val="20"/>
        </w:rPr>
      </w:pPr>
    </w:p>
    <w:p w14:paraId="6D3A62A6" w14:textId="65DE0985" w:rsidR="008E6B13" w:rsidRDefault="008E6B13">
      <w:pPr>
        <w:rPr>
          <w:rFonts w:ascii="Arial" w:hAnsi="Arial" w:cs="Arial"/>
          <w:sz w:val="20"/>
          <w:szCs w:val="20"/>
        </w:rPr>
      </w:pPr>
      <w:r>
        <w:rPr>
          <w:rFonts w:ascii="Arial" w:hAnsi="Arial"/>
          <w:b/>
          <w:bCs/>
        </w:rPr>
        <w:br w:type="page"/>
      </w:r>
    </w:p>
    <w:p w14:paraId="12202E47" w14:textId="77777777" w:rsidR="002100D9" w:rsidRDefault="002100D9" w:rsidP="002100D9">
      <w:pPr>
        <w:pStyle w:val="Textkrper"/>
        <w:spacing w:before="120" w:after="120" w:line="260" w:lineRule="exact"/>
        <w:jc w:val="both"/>
        <w:rPr>
          <w:rFonts w:ascii="Arial" w:hAnsi="Arial"/>
          <w:b w:val="0"/>
          <w:bCs w:val="0"/>
        </w:rPr>
      </w:pPr>
    </w:p>
    <w:p w14:paraId="6FCECABD" w14:textId="77777777" w:rsidR="002100D9" w:rsidRDefault="002100D9" w:rsidP="002100D9">
      <w:pPr>
        <w:pStyle w:val="PITextkrper"/>
        <w:pBdr>
          <w:top w:val="single" w:sz="4" w:space="1" w:color="auto"/>
        </w:pBdr>
        <w:spacing w:before="240"/>
        <w:rPr>
          <w:b/>
          <w:sz w:val="18"/>
          <w:szCs w:val="18"/>
        </w:rPr>
      </w:pPr>
    </w:p>
    <w:p w14:paraId="6B44A101" w14:textId="77777777" w:rsidR="002100D9" w:rsidRDefault="002100D9" w:rsidP="002100D9">
      <w:pPr>
        <w:pStyle w:val="Textkrper"/>
        <w:spacing w:before="120" w:after="120" w:line="260" w:lineRule="exact"/>
        <w:jc w:val="both"/>
        <w:rPr>
          <w:rFonts w:ascii="Arial" w:hAnsi="Arial"/>
        </w:rPr>
      </w:pPr>
      <w:r>
        <w:rPr>
          <w:rFonts w:ascii="Arial" w:hAnsi="Arial"/>
        </w:rPr>
        <w:t>About the Würth Elektronik eiSos Group</w:t>
      </w:r>
    </w:p>
    <w:p w14:paraId="42E19661" w14:textId="77777777" w:rsidR="002100D9" w:rsidRDefault="002100D9" w:rsidP="002100D9">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352DA2F" w14:textId="77777777" w:rsidR="002100D9" w:rsidRPr="00DF5B64" w:rsidRDefault="002100D9" w:rsidP="002100D9">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C8919D5" w14:textId="77777777" w:rsidR="002100D9" w:rsidRPr="00DF5B64" w:rsidRDefault="002100D9" w:rsidP="002100D9">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2B0FBA3" w14:textId="77777777" w:rsidR="002100D9" w:rsidRPr="000771CF" w:rsidRDefault="002100D9" w:rsidP="002100D9">
      <w:pPr>
        <w:pStyle w:val="Textkrper"/>
        <w:spacing w:before="120" w:after="120" w:line="276" w:lineRule="auto"/>
        <w:jc w:val="both"/>
        <w:rPr>
          <w:rFonts w:ascii="Arial" w:hAnsi="Arial"/>
          <w:b w:val="0"/>
        </w:rPr>
      </w:pPr>
      <w:r w:rsidRPr="000771CF">
        <w:rPr>
          <w:rFonts w:ascii="Arial" w:hAnsi="Arial"/>
          <w:b w:val="0"/>
        </w:rPr>
        <w:t>Würth Elektronik is part of the Würth Group, the global market leader in the development, production, and sale of fastening and assembly materials, and employs around 7,500 people. In 2024, the Würth Elektronik Group generated sales of 1.02 Billion Euro.</w:t>
      </w:r>
    </w:p>
    <w:p w14:paraId="4AB26E69" w14:textId="77777777" w:rsidR="002100D9" w:rsidRDefault="002100D9" w:rsidP="002100D9">
      <w:pPr>
        <w:pStyle w:val="Textkrper"/>
        <w:spacing w:before="120" w:after="120" w:line="276" w:lineRule="auto"/>
        <w:rPr>
          <w:rFonts w:ascii="Arial" w:hAnsi="Arial"/>
          <w:b w:val="0"/>
        </w:rPr>
      </w:pPr>
      <w:r>
        <w:rPr>
          <w:rFonts w:ascii="Arial" w:hAnsi="Arial"/>
          <w:b w:val="0"/>
        </w:rPr>
        <w:t>Würth Elektronik: more than you expect!</w:t>
      </w:r>
    </w:p>
    <w:p w14:paraId="3A4295F3" w14:textId="77777777" w:rsidR="002100D9" w:rsidRDefault="002100D9" w:rsidP="002100D9">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277F6305" w14:textId="77777777" w:rsidR="002100D9" w:rsidRDefault="002100D9" w:rsidP="002100D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2100D9" w14:paraId="2F1181F8" w14:textId="77777777" w:rsidTr="005E3685">
        <w:tc>
          <w:tcPr>
            <w:tcW w:w="3902" w:type="dxa"/>
            <w:hideMark/>
          </w:tcPr>
          <w:p w14:paraId="5D068531" w14:textId="77777777" w:rsidR="002100D9" w:rsidRPr="002100D9" w:rsidRDefault="002100D9" w:rsidP="005E3685">
            <w:pPr>
              <w:pStyle w:val="Textkrper"/>
              <w:autoSpaceDE/>
              <w:adjustRightInd/>
              <w:spacing w:before="120" w:after="120" w:line="276" w:lineRule="auto"/>
              <w:rPr>
                <w:rFonts w:ascii="Arial" w:hAnsi="Arial"/>
                <w:bCs w:val="0"/>
                <w:szCs w:val="24"/>
                <w:lang w:val="de-DE"/>
              </w:rPr>
            </w:pPr>
            <w:r w:rsidRPr="002100D9">
              <w:rPr>
                <w:lang w:val="de-DE"/>
              </w:rPr>
              <w:br w:type="page"/>
            </w:r>
            <w:r w:rsidRPr="002100D9">
              <w:rPr>
                <w:rFonts w:ascii="Arial" w:hAnsi="Arial"/>
                <w:bCs w:val="0"/>
                <w:szCs w:val="24"/>
                <w:lang w:val="de-DE"/>
              </w:rPr>
              <w:t>Further information:</w:t>
            </w:r>
          </w:p>
          <w:p w14:paraId="5E30827D" w14:textId="77777777" w:rsidR="002100D9" w:rsidRDefault="002100D9" w:rsidP="005E3685">
            <w:pPr>
              <w:spacing w:before="120" w:after="120" w:line="276" w:lineRule="auto"/>
              <w:rPr>
                <w:rFonts w:ascii="Arial" w:hAnsi="Arial" w:cs="Arial"/>
                <w:sz w:val="20"/>
              </w:rPr>
            </w:pPr>
            <w:r w:rsidRPr="002100D9">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060ADF83" w14:textId="77777777" w:rsidR="002100D9" w:rsidRDefault="002100D9" w:rsidP="005E3685">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6A2D5FDB" w14:textId="77777777" w:rsidR="002100D9" w:rsidRDefault="002100D9" w:rsidP="005E3685">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69C34865" w14:textId="77777777" w:rsidR="002100D9" w:rsidRDefault="002100D9" w:rsidP="005E3685">
            <w:pPr>
              <w:spacing w:before="120" w:after="120" w:line="276" w:lineRule="auto"/>
              <w:rPr>
                <w:rFonts w:ascii="Arial" w:hAnsi="Arial" w:cs="Arial"/>
                <w:bCs/>
                <w:sz w:val="20"/>
              </w:rPr>
            </w:pPr>
          </w:p>
        </w:tc>
        <w:tc>
          <w:tcPr>
            <w:tcW w:w="3193" w:type="dxa"/>
            <w:hideMark/>
          </w:tcPr>
          <w:p w14:paraId="03BD43DB" w14:textId="77777777" w:rsidR="002100D9" w:rsidRDefault="002100D9" w:rsidP="005E3685">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EE0D106" w14:textId="77777777" w:rsidR="002100D9" w:rsidRDefault="002100D9" w:rsidP="005E3685">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61BF89F3" w14:textId="77777777" w:rsidR="002100D9" w:rsidRPr="000771CF" w:rsidRDefault="002100D9" w:rsidP="005E3685">
            <w:pPr>
              <w:tabs>
                <w:tab w:val="left" w:pos="1065"/>
              </w:tabs>
              <w:spacing w:before="120" w:after="120" w:line="276" w:lineRule="auto"/>
              <w:rPr>
                <w:rFonts w:ascii="Arial" w:hAnsi="Arial" w:cs="Arial"/>
                <w:bCs/>
                <w:sz w:val="20"/>
              </w:rPr>
            </w:pPr>
            <w:r w:rsidRPr="000771CF">
              <w:rPr>
                <w:rFonts w:ascii="Arial" w:hAnsi="Arial"/>
                <w:bCs/>
                <w:sz w:val="20"/>
              </w:rPr>
              <w:t>Phone: +49 89 500778-20</w:t>
            </w:r>
            <w:r w:rsidRPr="000771CF">
              <w:rPr>
                <w:rFonts w:ascii="Arial" w:hAnsi="Arial"/>
                <w:bCs/>
                <w:sz w:val="20"/>
              </w:rPr>
              <w:br/>
              <w:t xml:space="preserve">E-mail: </w:t>
            </w:r>
            <w:hyperlink r:id="rId15" w:history="1">
              <w:r w:rsidRPr="000771CF">
                <w:rPr>
                  <w:rStyle w:val="Hyperlink"/>
                  <w:rFonts w:ascii="Arial" w:hAnsi="Arial"/>
                  <w:bCs/>
                  <w:sz w:val="20"/>
                </w:rPr>
                <w:t>b.basilio@htcm.de</w:t>
              </w:r>
            </w:hyperlink>
            <w:r w:rsidRPr="000771CF">
              <w:rPr>
                <w:rFonts w:ascii="Arial" w:hAnsi="Arial"/>
                <w:bCs/>
                <w:sz w:val="20"/>
              </w:rPr>
              <w:t xml:space="preserve"> </w:t>
            </w:r>
          </w:p>
          <w:p w14:paraId="0C1C2704" w14:textId="77777777" w:rsidR="002100D9" w:rsidRDefault="002100D9" w:rsidP="005E3685">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11E6115B" w14:textId="77777777" w:rsidR="00B150EF" w:rsidRDefault="00B150EF" w:rsidP="00485E6F">
      <w:pPr>
        <w:pStyle w:val="Textkrper"/>
        <w:spacing w:before="120" w:after="120" w:line="260" w:lineRule="exact"/>
        <w:jc w:val="both"/>
        <w:rPr>
          <w:rFonts w:ascii="Arial" w:hAnsi="Arial"/>
          <w:b w:val="0"/>
          <w:bCs w:val="0"/>
        </w:rPr>
      </w:pPr>
    </w:p>
    <w:sectPr w:rsidR="00B150EF"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DBD1" w14:textId="77777777" w:rsidR="00CE38C7" w:rsidRDefault="00CE38C7">
      <w:r>
        <w:separator/>
      </w:r>
    </w:p>
  </w:endnote>
  <w:endnote w:type="continuationSeparator" w:id="0">
    <w:p w14:paraId="1A32CF80" w14:textId="77777777" w:rsidR="00CE38C7" w:rsidRDefault="00CE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DE6933A"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37568">
      <w:rPr>
        <w:rFonts w:ascii="Arial" w:hAnsi="Arial" w:cs="Arial"/>
        <w:noProof/>
        <w:snapToGrid w:val="0"/>
        <w:sz w:val="16"/>
      </w:rPr>
      <w:t>WTH1PI1725</w:t>
    </w:r>
    <w:r w:rsidR="002100D9">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BD16" w14:textId="77777777" w:rsidR="00CE38C7" w:rsidRDefault="00CE38C7">
      <w:r>
        <w:separator/>
      </w:r>
    </w:p>
  </w:footnote>
  <w:footnote w:type="continuationSeparator" w:id="0">
    <w:p w14:paraId="5B5E933D" w14:textId="77777777" w:rsidR="00CE38C7" w:rsidRDefault="00CE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B07"/>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617"/>
    <w:rsid w:val="00135811"/>
    <w:rsid w:val="001456DE"/>
    <w:rsid w:val="0014630E"/>
    <w:rsid w:val="0015437A"/>
    <w:rsid w:val="00157145"/>
    <w:rsid w:val="00161F8B"/>
    <w:rsid w:val="0016652E"/>
    <w:rsid w:val="001667CD"/>
    <w:rsid w:val="001713D0"/>
    <w:rsid w:val="00172DA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4FA9"/>
    <w:rsid w:val="001E6BFC"/>
    <w:rsid w:val="001F02E1"/>
    <w:rsid w:val="001F039F"/>
    <w:rsid w:val="001F4BB0"/>
    <w:rsid w:val="001F6FF8"/>
    <w:rsid w:val="002005F2"/>
    <w:rsid w:val="00202AC3"/>
    <w:rsid w:val="00206EC3"/>
    <w:rsid w:val="002100D9"/>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07DB"/>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2A3"/>
    <w:rsid w:val="005C61CB"/>
    <w:rsid w:val="005C6D6A"/>
    <w:rsid w:val="005D160B"/>
    <w:rsid w:val="005D7454"/>
    <w:rsid w:val="005E0987"/>
    <w:rsid w:val="005E1091"/>
    <w:rsid w:val="005E6D53"/>
    <w:rsid w:val="005F68D7"/>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17DE"/>
    <w:rsid w:val="006E2FFE"/>
    <w:rsid w:val="006E4AF5"/>
    <w:rsid w:val="006F1ECD"/>
    <w:rsid w:val="006F24AB"/>
    <w:rsid w:val="006F28C1"/>
    <w:rsid w:val="006F44B9"/>
    <w:rsid w:val="006F5B78"/>
    <w:rsid w:val="006F74C8"/>
    <w:rsid w:val="006F77BD"/>
    <w:rsid w:val="007008AE"/>
    <w:rsid w:val="00701EFC"/>
    <w:rsid w:val="00704805"/>
    <w:rsid w:val="00704ADD"/>
    <w:rsid w:val="00704EB5"/>
    <w:rsid w:val="00705DBF"/>
    <w:rsid w:val="0071054E"/>
    <w:rsid w:val="00710CC4"/>
    <w:rsid w:val="007111CA"/>
    <w:rsid w:val="00711385"/>
    <w:rsid w:val="00711D05"/>
    <w:rsid w:val="00712F34"/>
    <w:rsid w:val="00713112"/>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12CE"/>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3664"/>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E6B1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265F"/>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4F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7FF"/>
    <w:rsid w:val="00B150EF"/>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3F45"/>
    <w:rsid w:val="00BC6F93"/>
    <w:rsid w:val="00BC74C8"/>
    <w:rsid w:val="00BD0BC8"/>
    <w:rsid w:val="00BD2843"/>
    <w:rsid w:val="00BD2B26"/>
    <w:rsid w:val="00BD5EAF"/>
    <w:rsid w:val="00BE5C1A"/>
    <w:rsid w:val="00BE7ED0"/>
    <w:rsid w:val="00BF09CC"/>
    <w:rsid w:val="00C036DC"/>
    <w:rsid w:val="00C10188"/>
    <w:rsid w:val="00C1211C"/>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38C7"/>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3571"/>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102CD"/>
    <w:rsid w:val="00E13FF1"/>
    <w:rsid w:val="00E21D22"/>
    <w:rsid w:val="00E235A7"/>
    <w:rsid w:val="00E27071"/>
    <w:rsid w:val="00E277BA"/>
    <w:rsid w:val="00E3345B"/>
    <w:rsid w:val="00E37568"/>
    <w:rsid w:val="00E41C6B"/>
    <w:rsid w:val="00E4697E"/>
    <w:rsid w:val="00E56EB0"/>
    <w:rsid w:val="00E57E93"/>
    <w:rsid w:val="00E6273C"/>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219E"/>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431"/>
    <w:rsid w:val="00F2437A"/>
    <w:rsid w:val="00F25121"/>
    <w:rsid w:val="00F26A7D"/>
    <w:rsid w:val="00F27950"/>
    <w:rsid w:val="00F34F46"/>
    <w:rsid w:val="00F55A20"/>
    <w:rsid w:val="00F5777D"/>
    <w:rsid w:val="00F61BC9"/>
    <w:rsid w:val="00F630C4"/>
    <w:rsid w:val="00F633C4"/>
    <w:rsid w:val="00F71E75"/>
    <w:rsid w:val="00F7288A"/>
    <w:rsid w:val="00F7329B"/>
    <w:rsid w:val="00F74E4F"/>
    <w:rsid w:val="00F9549B"/>
    <w:rsid w:val="00FA02BD"/>
    <w:rsid w:val="00FA0A2F"/>
    <w:rsid w:val="00FA17D8"/>
    <w:rsid w:val="00FA19AC"/>
    <w:rsid w:val="00FA3D93"/>
    <w:rsid w:val="00FB0CB6"/>
    <w:rsid w:val="00FB417E"/>
    <w:rsid w:val="00FB42F6"/>
    <w:rsid w:val="00FB7387"/>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4323</Characters>
  <DocSecurity>0</DocSecurity>
  <Lines>36</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4927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2026-02-04T09:08:00Z</dcterms:created>
  <dcterms:modified xsi:type="dcterms:W3CDTF">2026-02-04T11:21:00Z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