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rPr>
      </w:pPr>
      <w:r>
        <w:rPr>
          <w:sz w:val="20"/>
        </w:rPr>
        <w:t>COMUNICADO DE PRENSA</w:t>
      </w:r>
    </w:p>
    <w:p w14:paraId="59879415" w14:textId="42FD36BE" w:rsidR="00485E6F" w:rsidRPr="00944A14" w:rsidRDefault="003701B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publica una Nota de Aplicación sobre SEPIC</w:t>
      </w:r>
    </w:p>
    <w:p w14:paraId="4148C797" w14:textId="2641A214" w:rsidR="00485E6F" w:rsidRPr="00944A14" w:rsidRDefault="003701B1"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Consejos para el </w:t>
      </w:r>
      <w:r w:rsidR="00B338A8" w:rsidRPr="00B338A8">
        <w:rPr>
          <w:rFonts w:ascii="Arial" w:hAnsi="Arial"/>
          <w:b/>
          <w:color w:val="000000"/>
          <w:sz w:val="36"/>
        </w:rPr>
        <w:t>diseño</w:t>
      </w:r>
      <w:r>
        <w:rPr>
          <w:rFonts w:ascii="Arial" w:hAnsi="Arial"/>
          <w:b/>
          <w:color w:val="000000"/>
          <w:sz w:val="36"/>
        </w:rPr>
        <w:t xml:space="preserve"> de convertidores SEPIC</w:t>
      </w:r>
    </w:p>
    <w:p w14:paraId="2B4B242B" w14:textId="51A3B284" w:rsidR="00F3273D" w:rsidRDefault="00485E6F" w:rsidP="00303737">
      <w:pPr>
        <w:pStyle w:val="Textkrper"/>
        <w:spacing w:before="120" w:after="120" w:line="260" w:lineRule="exact"/>
        <w:jc w:val="both"/>
        <w:rPr>
          <w:rFonts w:ascii="Arial" w:hAnsi="Arial"/>
          <w:color w:val="000000"/>
        </w:rPr>
      </w:pPr>
      <w:r>
        <w:rPr>
          <w:rFonts w:ascii="Arial" w:hAnsi="Arial"/>
          <w:color w:val="000000"/>
        </w:rPr>
        <w:t xml:space="preserve">Waldenburg (Alemania), </w:t>
      </w:r>
      <w:r w:rsidR="00762975" w:rsidRPr="00762975">
        <w:rPr>
          <w:rFonts w:ascii="Arial" w:hAnsi="Arial"/>
          <w:color w:val="000000"/>
        </w:rPr>
        <w:t>20 de agosto de</w:t>
      </w:r>
      <w:r>
        <w:rPr>
          <w:rFonts w:ascii="Arial" w:hAnsi="Arial"/>
          <w:color w:val="000000"/>
        </w:rPr>
        <w:t xml:space="preserve"> 2025 – En la </w:t>
      </w:r>
      <w:hyperlink r:id="rId8" w:history="1">
        <w:r w:rsidRPr="00762975">
          <w:rPr>
            <w:rStyle w:val="Hyperlink"/>
            <w:rFonts w:ascii="Arial" w:hAnsi="Arial"/>
          </w:rPr>
          <w:t>Nota de Aplicación ANP135,</w:t>
        </w:r>
      </w:hyperlink>
      <w:r>
        <w:rPr>
          <w:rFonts w:ascii="Arial" w:hAnsi="Arial"/>
          <w:color w:val="000000"/>
        </w:rPr>
        <w:t xml:space="preserve"> «El SEPIC con inductores de potencia acoplados y desacoplados», Würth Elektronik aborda el funcionamiento de un convertidor SEPIC (Single-Ended Primary Inductor Converter) en modo continuo y discontinuo (CCM - continuous conduction mode y DCM - discontinuous conduction mode). El documento de 28 páginas </w:t>
      </w:r>
      <w:r w:rsidR="00B338A8" w:rsidRPr="00B338A8">
        <w:rPr>
          <w:rFonts w:ascii="Arial" w:hAnsi="Arial"/>
          <w:color w:val="000000"/>
        </w:rPr>
        <w:t>también aborda consideraciones y directrices de diseño, centrándose en las inductancias.</w:t>
      </w:r>
    </w:p>
    <w:p w14:paraId="38F2C08D" w14:textId="750913EC" w:rsidR="00425725" w:rsidRDefault="00F3273D" w:rsidP="00303737">
      <w:pPr>
        <w:pStyle w:val="Textkrper"/>
        <w:spacing w:before="120" w:after="120" w:line="260" w:lineRule="exact"/>
        <w:jc w:val="both"/>
        <w:rPr>
          <w:rFonts w:ascii="Arial" w:hAnsi="Arial"/>
          <w:b w:val="0"/>
          <w:bCs w:val="0"/>
        </w:rPr>
      </w:pPr>
      <w:r>
        <w:rPr>
          <w:rFonts w:ascii="Arial" w:hAnsi="Arial"/>
          <w:b w:val="0"/>
        </w:rPr>
        <w:t xml:space="preserve">SEPIC (Single-Ended-Primary-Inductor-Converter) es una topología de fuente conmutada no aislada que </w:t>
      </w:r>
      <w:r w:rsidR="00B338A8" w:rsidRPr="00B338A8">
        <w:rPr>
          <w:rFonts w:ascii="Arial" w:hAnsi="Arial"/>
          <w:b w:val="0"/>
        </w:rPr>
        <w:t>genera una tensión de salida que puede ser superior, igual o inferior a la tensión de entrada.</w:t>
      </w:r>
      <w:r>
        <w:rPr>
          <w:rFonts w:ascii="Arial" w:hAnsi="Arial"/>
          <w:b w:val="0"/>
        </w:rPr>
        <w:t xml:space="preserve"> Las aplicaciones típicas incluyen productos que funcionan con batería y cargadores, sistemas de energía en automoción, inversores fotovoltaicos, iluminación LED </w:t>
      </w:r>
      <w:r w:rsidR="00B321B3">
        <w:rPr>
          <w:rFonts w:ascii="Arial" w:hAnsi="Arial"/>
          <w:b w:val="0"/>
        </w:rPr>
        <w:t xml:space="preserve">sin conexión </w:t>
      </w:r>
      <w:r>
        <w:rPr>
          <w:rFonts w:ascii="Arial" w:hAnsi="Arial"/>
          <w:b w:val="0"/>
        </w:rPr>
        <w:t xml:space="preserve"> de red, así como </w:t>
      </w:r>
      <w:r w:rsidR="007F2880">
        <w:rPr>
          <w:rFonts w:ascii="Arial" w:hAnsi="Arial"/>
          <w:b w:val="0"/>
        </w:rPr>
        <w:t>PFC’s para la</w:t>
      </w:r>
      <w:r>
        <w:rPr>
          <w:rFonts w:ascii="Arial" w:hAnsi="Arial"/>
          <w:b w:val="0"/>
        </w:rPr>
        <w:t xml:space="preserve"> corrección del factor de potencia</w:t>
      </w:r>
      <w:r w:rsidR="00210AD8">
        <w:rPr>
          <w:rFonts w:ascii="Arial" w:hAnsi="Arial"/>
          <w:b w:val="0"/>
        </w:rPr>
        <w:t>.</w:t>
      </w:r>
      <w:r>
        <w:rPr>
          <w:rFonts w:ascii="Arial" w:hAnsi="Arial"/>
          <w:b w:val="0"/>
        </w:rPr>
        <w:t xml:space="preserve"> La Nota de Aplicación ofrece un análisis detallado del convertidor SEPIC con especial atención a las inductancias. Würth Elektronik pone un énfasis especial en la implementación con inductancias acopladas como </w:t>
      </w:r>
      <w:r w:rsidR="00D1415C">
        <w:rPr>
          <w:rFonts w:ascii="Arial" w:hAnsi="Arial"/>
          <w:b w:val="0"/>
        </w:rPr>
        <w:t xml:space="preserve"> la familia </w:t>
      </w:r>
      <w:hyperlink r:id="rId9" w:history="1">
        <w:r>
          <w:rPr>
            <w:rStyle w:val="Hyperlink"/>
            <w:rFonts w:ascii="Arial" w:hAnsi="Arial"/>
            <w:b w:val="0"/>
          </w:rPr>
          <w:t>WE-MCRI</w:t>
        </w:r>
      </w:hyperlink>
      <w:r>
        <w:rPr>
          <w:rFonts w:ascii="Arial" w:hAnsi="Arial"/>
          <w:b w:val="0"/>
        </w:rPr>
        <w:t xml:space="preserve">, y analiza tanto el control de la corriente de rizado como el papel fundamental que desempeña la inductancia de fuga en el rendimiento del convertidor. El análisis </w:t>
      </w:r>
      <w:r w:rsidR="00B8450F">
        <w:rPr>
          <w:rFonts w:ascii="Arial" w:hAnsi="Arial"/>
          <w:b w:val="0"/>
        </w:rPr>
        <w:t>utiliza</w:t>
      </w:r>
      <w:r>
        <w:rPr>
          <w:rFonts w:ascii="Arial" w:hAnsi="Arial"/>
          <w:b w:val="0"/>
        </w:rPr>
        <w:t xml:space="preserve"> simulaciones SPICE y mediciones en un prototipo real de convertidor SEPIC DC-DC.</w:t>
      </w:r>
    </w:p>
    <w:p w14:paraId="3A807B6A" w14:textId="1AE10D05" w:rsidR="00425725" w:rsidRPr="00425725" w:rsidRDefault="00425725" w:rsidP="00303737">
      <w:pPr>
        <w:pStyle w:val="Textkrper"/>
        <w:spacing w:before="120" w:after="120" w:line="260" w:lineRule="exact"/>
        <w:jc w:val="both"/>
        <w:rPr>
          <w:rFonts w:ascii="Arial" w:hAnsi="Arial"/>
        </w:rPr>
      </w:pPr>
      <w:r>
        <w:rPr>
          <w:rFonts w:ascii="Arial" w:hAnsi="Arial"/>
        </w:rPr>
        <w:t>Solución acoplada o no acoplada</w:t>
      </w:r>
    </w:p>
    <w:p w14:paraId="5509B15A" w14:textId="203BD49F" w:rsidR="00425725" w:rsidRDefault="00425725" w:rsidP="00303737">
      <w:pPr>
        <w:pStyle w:val="Textkrper"/>
        <w:spacing w:before="120" w:after="120" w:line="260" w:lineRule="exact"/>
        <w:jc w:val="both"/>
        <w:rPr>
          <w:rFonts w:ascii="Arial" w:hAnsi="Arial"/>
          <w:b w:val="0"/>
          <w:bCs w:val="0"/>
        </w:rPr>
      </w:pPr>
      <w:r>
        <w:rPr>
          <w:rFonts w:ascii="Arial" w:hAnsi="Arial"/>
          <w:b w:val="0"/>
        </w:rPr>
        <w:t>A diferencia de las topologías con una sola inductancia, como Buck, Boost o Buck-Boost, la etapa de potencia del SEPIC requiere dos inductancias. Estas pueden implementarse como inductancias independientes no acopladas, o alternativamente como un inductor de potencia acoplado con dos devanados sobre un núcleo común. Este diseño no solo reduce el número de componentes, sino que también requiere una inductancia menor para generar la misma amplitud de corriente de rizado en comparación con una solución con inductancias desacopladas. Además, el acoplamiento magnético de los devanados permite implementar la técnica denominada «Ripple Current Steering» (</w:t>
      </w:r>
      <w:r w:rsidR="00842B21">
        <w:rPr>
          <w:rFonts w:ascii="Arial" w:hAnsi="Arial"/>
          <w:b w:val="0"/>
        </w:rPr>
        <w:t>control</w:t>
      </w:r>
      <w:r w:rsidR="00870C68">
        <w:rPr>
          <w:rFonts w:ascii="Arial" w:hAnsi="Arial"/>
          <w:b w:val="0"/>
        </w:rPr>
        <w:t xml:space="preserve"> </w:t>
      </w:r>
      <w:r>
        <w:rPr>
          <w:rFonts w:ascii="Arial" w:hAnsi="Arial"/>
          <w:b w:val="0"/>
        </w:rPr>
        <w:t xml:space="preserve"> de la corriente de rizado</w:t>
      </w:r>
      <w:r w:rsidR="00C841D0">
        <w:rPr>
          <w:rFonts w:ascii="Arial" w:hAnsi="Arial"/>
          <w:b w:val="0"/>
        </w:rPr>
        <w:t xml:space="preserve"> en los devanados</w:t>
      </w:r>
      <w:r>
        <w:rPr>
          <w:rFonts w:ascii="Arial" w:hAnsi="Arial"/>
          <w:b w:val="0"/>
        </w:rPr>
        <w:t>). Se trata de una técnica en la que</w:t>
      </w:r>
      <w:r w:rsidR="009F64FC">
        <w:rPr>
          <w:rFonts w:ascii="Arial" w:hAnsi="Arial"/>
          <w:b w:val="0"/>
        </w:rPr>
        <w:t xml:space="preserve"> se controla que devanado conduce mayor</w:t>
      </w:r>
      <w:r>
        <w:rPr>
          <w:rFonts w:ascii="Arial" w:hAnsi="Arial"/>
          <w:b w:val="0"/>
        </w:rPr>
        <w:t xml:space="preserve"> corriente de rizado, lo que reduce el ruido EMI conducido. «Es importante comprender el impacto de la inductancia de fuga en el rendimiento de un SEPIC con inductancias acopladas. Contrariamente a lo que ocurre en la mayoría de aplicaciones, una mayor inductancia de fuga puede aportar ventajas en este caso», explica Eleazar Falco, ingeniero de aplicaciones </w:t>
      </w:r>
      <w:r w:rsidR="00B338A8" w:rsidRPr="00B338A8">
        <w:rPr>
          <w:rFonts w:ascii="Arial" w:hAnsi="Arial"/>
          <w:b w:val="0"/>
        </w:rPr>
        <w:t xml:space="preserve">sénior </w:t>
      </w:r>
      <w:r>
        <w:rPr>
          <w:rFonts w:ascii="Arial" w:hAnsi="Arial"/>
          <w:b w:val="0"/>
        </w:rPr>
        <w:t>en Würth Elektronik eiSos y autor del documento.</w:t>
      </w:r>
    </w:p>
    <w:p w14:paraId="2E85F3DD" w14:textId="77777777" w:rsidR="00303737" w:rsidRPr="006A2564" w:rsidRDefault="00303737" w:rsidP="00303737">
      <w:pPr>
        <w:pStyle w:val="Textkrper"/>
        <w:spacing w:before="120" w:after="120" w:line="260" w:lineRule="exact"/>
        <w:jc w:val="both"/>
        <w:rPr>
          <w:rFonts w:ascii="Arial" w:hAnsi="Arial"/>
          <w:color w:val="000000"/>
        </w:rPr>
      </w:pPr>
    </w:p>
    <w:p w14:paraId="784E7E64" w14:textId="63E93E39"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6A2564" w:rsidRDefault="00485E6F" w:rsidP="00485E6F">
      <w:pPr>
        <w:pStyle w:val="PITextkrper"/>
        <w:pBdr>
          <w:top w:val="single" w:sz="4" w:space="1" w:color="auto"/>
        </w:pBdr>
        <w:spacing w:before="240"/>
        <w:rPr>
          <w:b/>
          <w:sz w:val="18"/>
          <w:szCs w:val="18"/>
        </w:rPr>
      </w:pPr>
    </w:p>
    <w:p w14:paraId="56F8833E" w14:textId="77777777" w:rsidR="00762975" w:rsidRPr="00735520" w:rsidRDefault="00762975" w:rsidP="00762975">
      <w:pPr>
        <w:spacing w:after="120" w:line="280" w:lineRule="exact"/>
        <w:rPr>
          <w:rFonts w:ascii="Arial" w:hAnsi="Arial" w:cs="Arial"/>
          <w:b/>
          <w:bCs/>
          <w:sz w:val="18"/>
          <w:szCs w:val="18"/>
        </w:rPr>
      </w:pPr>
      <w:r w:rsidRPr="00735520">
        <w:rPr>
          <w:rFonts w:ascii="Arial" w:hAnsi="Arial"/>
          <w:b/>
          <w:sz w:val="18"/>
        </w:rPr>
        <w:t>Imágenes disponibles</w:t>
      </w:r>
    </w:p>
    <w:p w14:paraId="3C9B88DA" w14:textId="16CFD0B8" w:rsidR="00485E6F" w:rsidRPr="00944A14" w:rsidRDefault="00762975" w:rsidP="00762975">
      <w:pPr>
        <w:spacing w:after="120" w:line="280" w:lineRule="exact"/>
        <w:rPr>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944A14" w14:paraId="415A195B" w14:textId="77777777" w:rsidTr="00CE17D6">
        <w:trPr>
          <w:trHeight w:val="1701"/>
        </w:trPr>
        <w:tc>
          <w:tcPr>
            <w:tcW w:w="3510" w:type="dxa"/>
          </w:tcPr>
          <w:p w14:paraId="5A320371" w14:textId="7412BADB" w:rsidR="00485E6F" w:rsidRPr="00944A14" w:rsidRDefault="00485E6F" w:rsidP="00CE17D6">
            <w:pPr>
              <w:pStyle w:val="txt"/>
              <w:rPr>
                <w:b/>
                <w:bCs/>
                <w:sz w:val="18"/>
              </w:rPr>
            </w:pPr>
            <w:r>
              <w:rPr>
                <w:b/>
              </w:rPr>
              <w:br/>
            </w:r>
            <w:r>
              <w:rPr>
                <w:noProof/>
              </w:rPr>
              <w:drawing>
                <wp:inline distT="0" distB="0" distL="0" distR="0" wp14:anchorId="7BD2D593" wp14:editId="2D52AD09">
                  <wp:extent cx="2139950" cy="1958975"/>
                  <wp:effectExtent l="0" t="0" r="0" b="3175"/>
                  <wp:docPr id="660734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58975"/>
                          </a:xfrm>
                          <a:prstGeom prst="rect">
                            <a:avLst/>
                          </a:prstGeom>
                          <a:noFill/>
                          <a:ln>
                            <a:noFill/>
                          </a:ln>
                        </pic:spPr>
                      </pic:pic>
                    </a:graphicData>
                  </a:graphic>
                </wp:inline>
              </w:drawing>
            </w:r>
            <w:r>
              <w:rPr>
                <w:sz w:val="16"/>
              </w:rPr>
              <w:t xml:space="preserve">Fuente de la imagen: Würth Elektronik </w:t>
            </w:r>
          </w:p>
          <w:p w14:paraId="4BBAF83E" w14:textId="75865220" w:rsidR="00485E6F" w:rsidRPr="00944A14" w:rsidRDefault="00C46F9A" w:rsidP="00CE17D6">
            <w:pPr>
              <w:autoSpaceDE w:val="0"/>
              <w:autoSpaceDN w:val="0"/>
              <w:adjustRightInd w:val="0"/>
              <w:rPr>
                <w:rFonts w:ascii="Arial" w:hAnsi="Arial" w:cs="Arial"/>
                <w:b/>
                <w:sz w:val="18"/>
                <w:szCs w:val="18"/>
              </w:rPr>
            </w:pPr>
            <w:r>
              <w:rPr>
                <w:rFonts w:ascii="Arial" w:hAnsi="Arial"/>
                <w:b/>
                <w:sz w:val="18"/>
              </w:rPr>
              <w:t>El hardware para la nueva Nota de Aplicación de Würth Elektronik: dos prototipos SEPIC, uno con dos inductancias independientes (izquierda) y otro con una inductancia acoplada</w:t>
            </w:r>
          </w:p>
          <w:p w14:paraId="5ED23578" w14:textId="77777777" w:rsidR="00485E6F" w:rsidRPr="00944A14" w:rsidRDefault="00485E6F" w:rsidP="00CE17D6">
            <w:pPr>
              <w:autoSpaceDE w:val="0"/>
              <w:autoSpaceDN w:val="0"/>
              <w:adjustRightInd w:val="0"/>
              <w:rPr>
                <w:rFonts w:ascii="Arial" w:hAnsi="Arial" w:cs="Arial"/>
                <w:b/>
                <w:bCs/>
                <w:sz w:val="18"/>
                <w:szCs w:val="18"/>
              </w:rPr>
            </w:pPr>
          </w:p>
        </w:tc>
      </w:tr>
    </w:tbl>
    <w:p w14:paraId="388B8CF4" w14:textId="77777777" w:rsidR="00485E6F" w:rsidRPr="006A2564" w:rsidRDefault="00485E6F" w:rsidP="00485E6F">
      <w:pPr>
        <w:pStyle w:val="PITextkrper"/>
        <w:rPr>
          <w:b/>
          <w:bCs/>
          <w:sz w:val="18"/>
          <w:szCs w:val="18"/>
        </w:rPr>
      </w:pPr>
    </w:p>
    <w:p w14:paraId="1A961B77" w14:textId="77777777" w:rsidR="00485E6F" w:rsidRPr="00944A14"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37EFEBC2" w14:textId="77777777" w:rsidR="00762975" w:rsidRPr="00735520" w:rsidRDefault="00762975" w:rsidP="00762975">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0A344C25" w14:textId="77777777" w:rsidR="00762975" w:rsidRPr="00735520" w:rsidRDefault="00762975" w:rsidP="00762975">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1359D2AE" w14:textId="77777777" w:rsidR="00762975" w:rsidRDefault="00762975" w:rsidP="00762975">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77F40944" w14:textId="77777777" w:rsidR="00762975" w:rsidRDefault="00762975" w:rsidP="00762975">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68146E69" w14:textId="77777777" w:rsidR="00762975" w:rsidRDefault="00762975" w:rsidP="00762975">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72DCA3F5" w14:textId="77777777" w:rsidR="00762975" w:rsidRPr="00163BBC" w:rsidRDefault="00762975" w:rsidP="00762975">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158AEAD6" w14:textId="77777777" w:rsidR="00762975" w:rsidRPr="00735520" w:rsidRDefault="00762975" w:rsidP="00762975">
      <w:pPr>
        <w:pStyle w:val="Textkrper"/>
        <w:spacing w:before="120" w:after="120" w:line="276" w:lineRule="auto"/>
        <w:rPr>
          <w:rFonts w:ascii="Arial" w:hAnsi="Arial"/>
        </w:rPr>
      </w:pPr>
      <w:r w:rsidRPr="00735520">
        <w:rPr>
          <w:rFonts w:ascii="Arial" w:hAnsi="Arial"/>
        </w:rPr>
        <w:t>Más información en www.we-online.com</w:t>
      </w:r>
    </w:p>
    <w:p w14:paraId="0D5FDEE6" w14:textId="77777777" w:rsidR="00762975" w:rsidRPr="00735520" w:rsidRDefault="00762975" w:rsidP="00762975">
      <w:pPr>
        <w:pStyle w:val="Textkrper"/>
        <w:spacing w:before="120" w:after="120" w:line="276" w:lineRule="auto"/>
        <w:jc w:val="right"/>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762975" w:rsidRPr="00163BBC" w14:paraId="48E44140" w14:textId="77777777" w:rsidTr="00D559D2">
        <w:tc>
          <w:tcPr>
            <w:tcW w:w="3902" w:type="dxa"/>
            <w:hideMark/>
          </w:tcPr>
          <w:p w14:paraId="31F6D826" w14:textId="77777777" w:rsidR="00762975" w:rsidRPr="00735520" w:rsidRDefault="00762975" w:rsidP="00D559D2">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65CF054A" w14:textId="77777777" w:rsidR="00762975" w:rsidRPr="00735520" w:rsidRDefault="00762975" w:rsidP="00D559D2">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520ADFC4" w14:textId="77777777" w:rsidR="00762975" w:rsidRPr="00735520" w:rsidRDefault="00762975" w:rsidP="00D559D2">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06375406" w14:textId="77777777" w:rsidR="00762975" w:rsidRPr="00735520" w:rsidRDefault="00762975" w:rsidP="00D559D2">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139F1A49" w14:textId="77777777" w:rsidR="00762975" w:rsidRPr="00735520" w:rsidRDefault="00762975" w:rsidP="00D559D2">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59C02D86" w14:textId="77777777" w:rsidR="00762975" w:rsidRPr="00735520" w:rsidRDefault="00762975" w:rsidP="00D559D2">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3C9F40B3" w14:textId="77777777" w:rsidR="00762975" w:rsidRPr="00735520" w:rsidRDefault="00762975" w:rsidP="00D559D2">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481F6C2" w14:textId="77777777" w:rsidR="00762975" w:rsidRPr="00735520" w:rsidRDefault="00762975" w:rsidP="00D559D2">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17FBF4ED" w14:textId="77777777" w:rsidR="00762975" w:rsidRPr="006A2564" w:rsidRDefault="00762975" w:rsidP="00762975">
      <w:pPr>
        <w:pStyle w:val="PITextkrper"/>
        <w:spacing w:before="240"/>
        <w:rPr>
          <w:b/>
          <w:sz w:val="18"/>
          <w:szCs w:val="18"/>
        </w:rPr>
      </w:pPr>
    </w:p>
    <w:sectPr w:rsidR="00762975" w:rsidRPr="006A2564"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ED8A6" w14:textId="77777777" w:rsidR="00C921C6" w:rsidRDefault="00C921C6">
      <w:r>
        <w:separator/>
      </w:r>
    </w:p>
  </w:endnote>
  <w:endnote w:type="continuationSeparator" w:id="0">
    <w:p w14:paraId="30997587" w14:textId="77777777" w:rsidR="00C921C6" w:rsidRDefault="00C9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69D1523" w:rsidR="00D84800" w:rsidRPr="006A2564" w:rsidRDefault="00D84800" w:rsidP="00D84800">
    <w:pPr>
      <w:pStyle w:val="Fuzeile"/>
      <w:tabs>
        <w:tab w:val="clear" w:pos="4536"/>
        <w:tab w:val="clear" w:pos="9072"/>
        <w:tab w:val="right" w:pos="7088"/>
      </w:tabs>
      <w:rPr>
        <w:rFonts w:ascii="Arial" w:hAnsi="Arial" w:cs="Arial"/>
        <w:noProof/>
        <w:snapToGrid w:val="0"/>
        <w:sz w:val="16"/>
        <w:szCs w:val="16"/>
        <w:lang w:val="en-GB"/>
      </w:rPr>
    </w:pPr>
    <w:r w:rsidRPr="00A74816">
      <w:rPr>
        <w:rFonts w:ascii="Arial" w:hAnsi="Arial" w:cs="Arial"/>
        <w:snapToGrid w:val="0"/>
        <w:sz w:val="16"/>
      </w:rPr>
      <w:fldChar w:fldCharType="begin"/>
    </w:r>
    <w:r w:rsidRPr="006A2564">
      <w:rPr>
        <w:rFonts w:ascii="Arial" w:hAnsi="Arial" w:cs="Arial"/>
        <w:snapToGrid w:val="0"/>
        <w:sz w:val="16"/>
        <w:lang w:val="en-GB"/>
      </w:rPr>
      <w:instrText xml:space="preserve"> FILENAME  \* MERGEFORMAT </w:instrText>
    </w:r>
    <w:r w:rsidRPr="00A74816">
      <w:rPr>
        <w:rFonts w:ascii="Arial" w:hAnsi="Arial" w:cs="Arial"/>
        <w:snapToGrid w:val="0"/>
        <w:sz w:val="16"/>
      </w:rPr>
      <w:fldChar w:fldCharType="separate"/>
    </w:r>
    <w:r w:rsidR="000A550E" w:rsidRPr="006A2564">
      <w:rPr>
        <w:rFonts w:ascii="Arial" w:hAnsi="Arial" w:cs="Arial"/>
        <w:snapToGrid w:val="0"/>
        <w:sz w:val="16"/>
        <w:lang w:val="en-GB"/>
      </w:rPr>
      <w:t>WTH1PI1703</w:t>
    </w:r>
    <w:r w:rsidR="00762975">
      <w:rPr>
        <w:rFonts w:ascii="Arial" w:hAnsi="Arial" w:cs="Arial"/>
        <w:snapToGrid w:val="0"/>
        <w:sz w:val="16"/>
        <w:lang w:val="en-GB"/>
      </w:rPr>
      <w:t>_es</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14E22" w14:textId="77777777" w:rsidR="00C921C6" w:rsidRDefault="00C921C6">
      <w:r>
        <w:separator/>
      </w:r>
    </w:p>
  </w:footnote>
  <w:footnote w:type="continuationSeparator" w:id="0">
    <w:p w14:paraId="37770B10" w14:textId="77777777" w:rsidR="00C921C6" w:rsidRDefault="00C92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s-E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3811"/>
    <w:rsid w:val="0009455D"/>
    <w:rsid w:val="000A09B0"/>
    <w:rsid w:val="000A13E8"/>
    <w:rsid w:val="000A486B"/>
    <w:rsid w:val="000A550E"/>
    <w:rsid w:val="000A70FF"/>
    <w:rsid w:val="000B28AB"/>
    <w:rsid w:val="000B4E60"/>
    <w:rsid w:val="000B56A3"/>
    <w:rsid w:val="000B59CE"/>
    <w:rsid w:val="000B6091"/>
    <w:rsid w:val="000B6B5A"/>
    <w:rsid w:val="000B6F5F"/>
    <w:rsid w:val="000C23E9"/>
    <w:rsid w:val="000C3C4E"/>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071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489"/>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0AD8"/>
    <w:rsid w:val="002132F7"/>
    <w:rsid w:val="002148EF"/>
    <w:rsid w:val="00214A93"/>
    <w:rsid w:val="0021524E"/>
    <w:rsid w:val="00215586"/>
    <w:rsid w:val="00215F9D"/>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472B"/>
    <w:rsid w:val="00346E77"/>
    <w:rsid w:val="00347536"/>
    <w:rsid w:val="00347F46"/>
    <w:rsid w:val="00355E1C"/>
    <w:rsid w:val="00356C16"/>
    <w:rsid w:val="00357372"/>
    <w:rsid w:val="00366479"/>
    <w:rsid w:val="003668D1"/>
    <w:rsid w:val="0037012B"/>
    <w:rsid w:val="003701B1"/>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5725"/>
    <w:rsid w:val="0042615E"/>
    <w:rsid w:val="004354C6"/>
    <w:rsid w:val="00441533"/>
    <w:rsid w:val="00444E30"/>
    <w:rsid w:val="0045093C"/>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430F"/>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0D6D"/>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0C3B"/>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3CA9"/>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2564"/>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2975"/>
    <w:rsid w:val="00764EC4"/>
    <w:rsid w:val="00766B74"/>
    <w:rsid w:val="007708B8"/>
    <w:rsid w:val="00771DF4"/>
    <w:rsid w:val="00775A3A"/>
    <w:rsid w:val="00777EB9"/>
    <w:rsid w:val="00782FF2"/>
    <w:rsid w:val="00783D9B"/>
    <w:rsid w:val="0078774B"/>
    <w:rsid w:val="007913E6"/>
    <w:rsid w:val="00793542"/>
    <w:rsid w:val="007A4345"/>
    <w:rsid w:val="007B24FD"/>
    <w:rsid w:val="007C1E35"/>
    <w:rsid w:val="007C335A"/>
    <w:rsid w:val="007C42E6"/>
    <w:rsid w:val="007C79D2"/>
    <w:rsid w:val="007D400B"/>
    <w:rsid w:val="007D7B8B"/>
    <w:rsid w:val="007E16F3"/>
    <w:rsid w:val="007E2CA5"/>
    <w:rsid w:val="007E3A15"/>
    <w:rsid w:val="007E4896"/>
    <w:rsid w:val="007E66DD"/>
    <w:rsid w:val="007E7DC6"/>
    <w:rsid w:val="007F2182"/>
    <w:rsid w:val="007F2880"/>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2B21"/>
    <w:rsid w:val="008517BF"/>
    <w:rsid w:val="008523FC"/>
    <w:rsid w:val="0085304E"/>
    <w:rsid w:val="008536A9"/>
    <w:rsid w:val="008545C1"/>
    <w:rsid w:val="00855486"/>
    <w:rsid w:val="00856DDE"/>
    <w:rsid w:val="00857F72"/>
    <w:rsid w:val="00860705"/>
    <w:rsid w:val="00861F76"/>
    <w:rsid w:val="00862DC5"/>
    <w:rsid w:val="00865B71"/>
    <w:rsid w:val="00870C68"/>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D77CD"/>
    <w:rsid w:val="008E0894"/>
    <w:rsid w:val="008E0C0C"/>
    <w:rsid w:val="008E1E5C"/>
    <w:rsid w:val="008E6771"/>
    <w:rsid w:val="008F13AD"/>
    <w:rsid w:val="008F3008"/>
    <w:rsid w:val="008F3827"/>
    <w:rsid w:val="008F6F03"/>
    <w:rsid w:val="00901011"/>
    <w:rsid w:val="009011CE"/>
    <w:rsid w:val="00902CCA"/>
    <w:rsid w:val="00903880"/>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D66A0"/>
    <w:rsid w:val="009E3177"/>
    <w:rsid w:val="009E375E"/>
    <w:rsid w:val="009E448A"/>
    <w:rsid w:val="009F20DB"/>
    <w:rsid w:val="009F2E8B"/>
    <w:rsid w:val="009F64FC"/>
    <w:rsid w:val="009F6962"/>
    <w:rsid w:val="00A02CED"/>
    <w:rsid w:val="00A03564"/>
    <w:rsid w:val="00A037C6"/>
    <w:rsid w:val="00A06FFA"/>
    <w:rsid w:val="00A13E4A"/>
    <w:rsid w:val="00A22B86"/>
    <w:rsid w:val="00A2489E"/>
    <w:rsid w:val="00A262DC"/>
    <w:rsid w:val="00A3000D"/>
    <w:rsid w:val="00A402B9"/>
    <w:rsid w:val="00A42BE8"/>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62FE"/>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21B3"/>
    <w:rsid w:val="00B338A8"/>
    <w:rsid w:val="00B35523"/>
    <w:rsid w:val="00B37564"/>
    <w:rsid w:val="00B40F06"/>
    <w:rsid w:val="00B42801"/>
    <w:rsid w:val="00B43755"/>
    <w:rsid w:val="00B4555A"/>
    <w:rsid w:val="00B50499"/>
    <w:rsid w:val="00B5064E"/>
    <w:rsid w:val="00B53931"/>
    <w:rsid w:val="00B54F4E"/>
    <w:rsid w:val="00B56EF0"/>
    <w:rsid w:val="00B61AE2"/>
    <w:rsid w:val="00B66573"/>
    <w:rsid w:val="00B6690A"/>
    <w:rsid w:val="00B67314"/>
    <w:rsid w:val="00B74D5C"/>
    <w:rsid w:val="00B757F2"/>
    <w:rsid w:val="00B8450F"/>
    <w:rsid w:val="00B8501E"/>
    <w:rsid w:val="00B911CF"/>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BF6111"/>
    <w:rsid w:val="00C036DC"/>
    <w:rsid w:val="00C10188"/>
    <w:rsid w:val="00C17CED"/>
    <w:rsid w:val="00C279D5"/>
    <w:rsid w:val="00C317DF"/>
    <w:rsid w:val="00C351B8"/>
    <w:rsid w:val="00C40959"/>
    <w:rsid w:val="00C42973"/>
    <w:rsid w:val="00C437CE"/>
    <w:rsid w:val="00C43E68"/>
    <w:rsid w:val="00C46F9A"/>
    <w:rsid w:val="00C47605"/>
    <w:rsid w:val="00C500C5"/>
    <w:rsid w:val="00C537A3"/>
    <w:rsid w:val="00C5688B"/>
    <w:rsid w:val="00C62222"/>
    <w:rsid w:val="00C626B6"/>
    <w:rsid w:val="00C63D8C"/>
    <w:rsid w:val="00C645F4"/>
    <w:rsid w:val="00C70245"/>
    <w:rsid w:val="00C71265"/>
    <w:rsid w:val="00C7439C"/>
    <w:rsid w:val="00C8403A"/>
    <w:rsid w:val="00C841D0"/>
    <w:rsid w:val="00C87944"/>
    <w:rsid w:val="00C921C6"/>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60CE"/>
    <w:rsid w:val="00CF7932"/>
    <w:rsid w:val="00D10313"/>
    <w:rsid w:val="00D10A7D"/>
    <w:rsid w:val="00D11C40"/>
    <w:rsid w:val="00D124AD"/>
    <w:rsid w:val="00D1415C"/>
    <w:rsid w:val="00D16818"/>
    <w:rsid w:val="00D23260"/>
    <w:rsid w:val="00D261A7"/>
    <w:rsid w:val="00D3047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59B9"/>
    <w:rsid w:val="00EE6C4D"/>
    <w:rsid w:val="00EF6066"/>
    <w:rsid w:val="00EF6119"/>
    <w:rsid w:val="00EF62C4"/>
    <w:rsid w:val="00EF7895"/>
    <w:rsid w:val="00F020E7"/>
    <w:rsid w:val="00F02E63"/>
    <w:rsid w:val="00F0510F"/>
    <w:rsid w:val="00F06103"/>
    <w:rsid w:val="00F11AAA"/>
    <w:rsid w:val="00F1272C"/>
    <w:rsid w:val="00F13328"/>
    <w:rsid w:val="00F14F24"/>
    <w:rsid w:val="00F1580B"/>
    <w:rsid w:val="00F2437A"/>
    <w:rsid w:val="00F26A7D"/>
    <w:rsid w:val="00F2706C"/>
    <w:rsid w:val="00F27950"/>
    <w:rsid w:val="00F3273D"/>
    <w:rsid w:val="00F34F46"/>
    <w:rsid w:val="00F55A20"/>
    <w:rsid w:val="00F61BC9"/>
    <w:rsid w:val="00F630C4"/>
    <w:rsid w:val="00F633C4"/>
    <w:rsid w:val="00F7288A"/>
    <w:rsid w:val="00F74E4F"/>
    <w:rsid w:val="00F7592B"/>
    <w:rsid w:val="00F9549B"/>
    <w:rsid w:val="00FA02BD"/>
    <w:rsid w:val="00FA069D"/>
    <w:rsid w:val="00FA0A2F"/>
    <w:rsid w:val="00FA19AC"/>
    <w:rsid w:val="00FA3D93"/>
    <w:rsid w:val="00FB0CB6"/>
    <w:rsid w:val="00FB417E"/>
    <w:rsid w:val="00FC42F7"/>
    <w:rsid w:val="00FC50B8"/>
    <w:rsid w:val="00FC7446"/>
    <w:rsid w:val="00FD2691"/>
    <w:rsid w:val="00FD3927"/>
    <w:rsid w:val="00FD436E"/>
    <w:rsid w:val="00FD48FB"/>
    <w:rsid w:val="00FE1859"/>
    <w:rsid w:val="00FE4052"/>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903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76501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23546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42557472">
      <w:bodyDiv w:val="1"/>
      <w:marLeft w:val="0"/>
      <w:marRight w:val="0"/>
      <w:marTop w:val="0"/>
      <w:marBottom w:val="0"/>
      <w:divBdr>
        <w:top w:val="none" w:sz="0" w:space="0" w:color="auto"/>
        <w:left w:val="none" w:sz="0" w:space="0" w:color="auto"/>
        <w:bottom w:val="none" w:sz="0" w:space="0" w:color="auto"/>
        <w:right w:val="none" w:sz="0" w:space="0" w:color="auto"/>
      </w:divBdr>
    </w:div>
    <w:div w:id="1111514866">
      <w:bodyDiv w:val="1"/>
      <w:marLeft w:val="0"/>
      <w:marRight w:val="0"/>
      <w:marTop w:val="0"/>
      <w:marBottom w:val="0"/>
      <w:divBdr>
        <w:top w:val="none" w:sz="0" w:space="0" w:color="auto"/>
        <w:left w:val="none" w:sz="0" w:space="0" w:color="auto"/>
        <w:bottom w:val="none" w:sz="0" w:space="0" w:color="auto"/>
        <w:right w:val="none" w:sz="0" w:space="0" w:color="auto"/>
      </w:divBdr>
    </w:div>
    <w:div w:id="1115247301">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576121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35-sepic-inducto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E-MCR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4488</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2025-08-05T08:54:00Z</dcterms:created>
  <dcterms:modified xsi:type="dcterms:W3CDTF">2025-08-05T08:54:00Z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