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rPr>
      </w:pPr>
      <w:r>
        <w:rPr>
          <w:sz w:val="20"/>
        </w:rPr>
        <w:t>COMUNICATO STAMPA</w:t>
      </w:r>
    </w:p>
    <w:p w14:paraId="2E18C34E" w14:textId="122E7B65" w:rsidR="007A4D05" w:rsidRDefault="00B50E4B" w:rsidP="00485E6F">
      <w:pPr>
        <w:pStyle w:val="Kopfzeile"/>
        <w:tabs>
          <w:tab w:val="clear" w:pos="4536"/>
          <w:tab w:val="clear" w:pos="9072"/>
        </w:tabs>
        <w:spacing w:before="120" w:after="120" w:line="360" w:lineRule="exact"/>
        <w:outlineLvl w:val="0"/>
        <w:rPr>
          <w:rFonts w:ascii="Arial" w:hAnsi="Arial" w:cs="Arial"/>
          <w:b/>
          <w:bCs/>
        </w:rPr>
      </w:pP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r>
        <w:rPr>
          <w:rFonts w:ascii="Arial" w:hAnsi="Arial"/>
          <w:b/>
        </w:rPr>
        <w:t xml:space="preserve"> definisce </w:t>
      </w:r>
      <w:r w:rsidR="001774B9">
        <w:rPr>
          <w:rFonts w:ascii="Arial" w:hAnsi="Arial"/>
          <w:b/>
        </w:rPr>
        <w:t>una</w:t>
      </w:r>
      <w:r>
        <w:rPr>
          <w:rFonts w:ascii="Arial" w:hAnsi="Arial"/>
          <w:b/>
        </w:rPr>
        <w:t xml:space="preserve"> proprietà elettrica per induttori </w:t>
      </w:r>
      <w:r w:rsidR="001774B9">
        <w:rPr>
          <w:rFonts w:ascii="Arial" w:hAnsi="Arial"/>
          <w:b/>
        </w:rPr>
        <w:t>sinterizzati</w:t>
      </w:r>
    </w:p>
    <w:p w14:paraId="4148C797" w14:textId="2D617D7D" w:rsidR="00485E6F" w:rsidRPr="00B94DAE" w:rsidRDefault="009237D8"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Nuovo metodo di prova per determinare la </w:t>
      </w:r>
      <w:r w:rsidR="001774B9">
        <w:rPr>
          <w:rFonts w:ascii="Arial" w:hAnsi="Arial"/>
          <w:b/>
          <w:color w:val="000000"/>
          <w:sz w:val="36"/>
        </w:rPr>
        <w:t>rigidità</w:t>
      </w:r>
      <w:r>
        <w:rPr>
          <w:rFonts w:ascii="Arial" w:hAnsi="Arial"/>
          <w:b/>
          <w:color w:val="000000"/>
          <w:sz w:val="36"/>
        </w:rPr>
        <w:t xml:space="preserve"> dielettrica</w:t>
      </w:r>
    </w:p>
    <w:p w14:paraId="4A885831" w14:textId="020A365F" w:rsidR="003E7863" w:rsidRDefault="00485E6F" w:rsidP="00766DC8">
      <w:pPr>
        <w:pStyle w:val="Textkrper"/>
        <w:spacing w:before="120" w:after="120" w:line="260" w:lineRule="exact"/>
        <w:jc w:val="both"/>
        <w:rPr>
          <w:rFonts w:ascii="Arial" w:hAnsi="Arial"/>
        </w:rPr>
      </w:pPr>
      <w:proofErr w:type="spellStart"/>
      <w:r>
        <w:rPr>
          <w:rFonts w:ascii="Arial" w:hAnsi="Arial"/>
          <w:color w:val="000000"/>
        </w:rPr>
        <w:t>Waldenburg</w:t>
      </w:r>
      <w:proofErr w:type="spellEnd"/>
      <w:r>
        <w:rPr>
          <w:rFonts w:ascii="Arial" w:hAnsi="Arial"/>
          <w:color w:val="000000"/>
        </w:rPr>
        <w:t xml:space="preserve"> (Germania), </w:t>
      </w:r>
      <w:r w:rsidR="00264264">
        <w:rPr>
          <w:rFonts w:ascii="Arial" w:hAnsi="Arial"/>
          <w:color w:val="000000"/>
        </w:rPr>
        <w:t>17</w:t>
      </w:r>
      <w:r>
        <w:rPr>
          <w:rFonts w:ascii="Arial" w:hAnsi="Arial"/>
          <w:color w:val="000000"/>
        </w:rPr>
        <w:t xml:space="preserve"> </w:t>
      </w:r>
      <w:r w:rsidR="00264264">
        <w:rPr>
          <w:rFonts w:ascii="Arial" w:hAnsi="Arial"/>
          <w:color w:val="000000"/>
        </w:rPr>
        <w:t>luglio</w:t>
      </w:r>
      <w:r>
        <w:rPr>
          <w:rFonts w:ascii="Arial" w:hAnsi="Arial"/>
          <w:color w:val="000000"/>
        </w:rPr>
        <w:t xml:space="preserve"> 2024 –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ha sviluppato un nuovo metodo di prova per la determinazione della tensione di esercizio massima d</w:t>
      </w:r>
      <w:r w:rsidR="001774B9">
        <w:rPr>
          <w:rFonts w:ascii="Arial" w:hAnsi="Arial"/>
          <w:color w:val="000000"/>
        </w:rPr>
        <w:t>egli</w:t>
      </w:r>
      <w:r>
        <w:rPr>
          <w:rFonts w:ascii="Arial" w:hAnsi="Arial"/>
          <w:color w:val="000000"/>
        </w:rPr>
        <w:t xml:space="preserve"> induttori </w:t>
      </w:r>
      <w:r w:rsidR="003E7863">
        <w:rPr>
          <w:rFonts w:ascii="Arial" w:hAnsi="Arial"/>
          <w:color w:val="000000"/>
        </w:rPr>
        <w:t>sinterizzati</w:t>
      </w:r>
      <w:r>
        <w:rPr>
          <w:rFonts w:ascii="Arial" w:hAnsi="Arial"/>
          <w:color w:val="000000"/>
        </w:rPr>
        <w:t xml:space="preserve">. Il produttore di componenti elettronici ed elettromeccanici presenta agli sviluppatori la proprietà elettrica della </w:t>
      </w:r>
      <w:r w:rsidR="001774B9">
        <w:rPr>
          <w:rFonts w:ascii="Arial" w:hAnsi="Arial"/>
          <w:color w:val="000000"/>
        </w:rPr>
        <w:t>rigidità</w:t>
      </w:r>
      <w:r>
        <w:rPr>
          <w:rFonts w:ascii="Arial" w:hAnsi="Arial"/>
          <w:color w:val="000000"/>
        </w:rPr>
        <w:t xml:space="preserve"> dielettrica e i relativi effetti in caso di superamento in un'applicazione</w:t>
      </w:r>
      <w:r w:rsidR="003E7863">
        <w:rPr>
          <w:rFonts w:ascii="Arial" w:hAnsi="Arial"/>
          <w:color w:val="000000"/>
        </w:rPr>
        <w:t xml:space="preserve"> descritta</w:t>
      </w:r>
      <w:r>
        <w:rPr>
          <w:rFonts w:ascii="Arial" w:hAnsi="Arial"/>
          <w:color w:val="000000"/>
        </w:rPr>
        <w:t xml:space="preserve"> nella Application Note 126 </w:t>
      </w:r>
      <w:r>
        <w:rPr>
          <w:rFonts w:ascii="Arial" w:hAnsi="Arial"/>
        </w:rPr>
        <w:t>(</w:t>
      </w:r>
      <w:hyperlink r:id="rId8" w:history="1">
        <w:r>
          <w:rPr>
            <w:rStyle w:val="Hyperlink"/>
            <w:rFonts w:ascii="Arial" w:hAnsi="Arial"/>
          </w:rPr>
          <w:t>www.we-online.com/ANP126</w:t>
        </w:r>
      </w:hyperlink>
      <w:r>
        <w:rPr>
          <w:rFonts w:ascii="Arial" w:hAnsi="Arial"/>
          <w:color w:val="000000"/>
        </w:rPr>
        <w:t>)</w:t>
      </w:r>
      <w:r>
        <w:rPr>
          <w:rFonts w:ascii="Arial" w:hAnsi="Arial"/>
        </w:rPr>
        <w:t xml:space="preserve">. Gli induttori </w:t>
      </w:r>
      <w:r w:rsidR="003E7863">
        <w:rPr>
          <w:rFonts w:ascii="Arial" w:hAnsi="Arial"/>
        </w:rPr>
        <w:t>sinterizzati</w:t>
      </w:r>
      <w:r>
        <w:rPr>
          <w:rFonts w:ascii="Arial" w:hAnsi="Arial"/>
        </w:rPr>
        <w:t xml:space="preserve"> </w:t>
      </w:r>
      <w:r w:rsidR="003E7863">
        <w:rPr>
          <w:rFonts w:ascii="Arial" w:hAnsi="Arial"/>
        </w:rPr>
        <w:t xml:space="preserve">della famiglia Power </w:t>
      </w:r>
      <w:proofErr w:type="spellStart"/>
      <w:r w:rsidR="003E7863">
        <w:rPr>
          <w:rFonts w:ascii="Arial" w:hAnsi="Arial"/>
        </w:rPr>
        <w:t>Magnetics</w:t>
      </w:r>
      <w:proofErr w:type="spellEnd"/>
      <w:r w:rsidR="003E7863">
        <w:rPr>
          <w:rFonts w:ascii="Arial" w:hAnsi="Arial"/>
        </w:rPr>
        <w:t xml:space="preserve"> </w:t>
      </w:r>
      <w:r>
        <w:rPr>
          <w:rFonts w:ascii="Arial" w:hAnsi="Arial"/>
        </w:rPr>
        <w:t xml:space="preserve">(ad es. </w:t>
      </w:r>
      <w:hyperlink r:id="rId9" w:history="1">
        <w:r>
          <w:rPr>
            <w:rStyle w:val="Hyperlink"/>
            <w:rFonts w:ascii="Arial" w:hAnsi="Arial"/>
          </w:rPr>
          <w:t>WE-MAPI</w:t>
        </w:r>
      </w:hyperlink>
      <w:r>
        <w:rPr>
          <w:rFonts w:ascii="Arial" w:hAnsi="Arial"/>
        </w:rPr>
        <w:t xml:space="preserve">, </w:t>
      </w:r>
      <w:hyperlink r:id="rId10" w:history="1">
        <w:r>
          <w:rPr>
            <w:rStyle w:val="Hyperlink"/>
            <w:rFonts w:ascii="Arial" w:hAnsi="Arial"/>
          </w:rPr>
          <w:t>WE-XHMI</w:t>
        </w:r>
      </w:hyperlink>
      <w:r>
        <w:rPr>
          <w:rFonts w:ascii="Arial" w:hAnsi="Arial"/>
        </w:rPr>
        <w:t xml:space="preserve">, </w:t>
      </w:r>
      <w:hyperlink r:id="rId11" w:history="1">
        <w:r>
          <w:rPr>
            <w:rStyle w:val="Hyperlink"/>
            <w:rFonts w:ascii="Arial" w:hAnsi="Arial"/>
          </w:rPr>
          <w:t>WE-LHMI</w:t>
        </w:r>
      </w:hyperlink>
      <w:r>
        <w:rPr>
          <w:rFonts w:ascii="Arial" w:hAnsi="Arial"/>
        </w:rPr>
        <w:t xml:space="preserve">) </w:t>
      </w:r>
      <w:r w:rsidR="003E7863" w:rsidRPr="003E7863">
        <w:rPr>
          <w:rFonts w:ascii="Arial" w:hAnsi="Arial"/>
        </w:rPr>
        <w:t xml:space="preserve">vengono ora successivamente integrati nelle specifiche con il valore della massima tensione operativa </w:t>
      </w:r>
      <w:proofErr w:type="spellStart"/>
      <w:r w:rsidR="003E7863">
        <w:rPr>
          <w:rFonts w:ascii="Arial" w:hAnsi="Arial"/>
        </w:rPr>
        <w:t>V</w:t>
      </w:r>
      <w:r w:rsidR="003E7863">
        <w:rPr>
          <w:rFonts w:ascii="Arial" w:hAnsi="Arial"/>
          <w:vertAlign w:val="subscript"/>
        </w:rPr>
        <w:t>op</w:t>
      </w:r>
      <w:proofErr w:type="spellEnd"/>
      <w:r w:rsidR="003E7863">
        <w:rPr>
          <w:rFonts w:ascii="Arial" w:hAnsi="Arial"/>
        </w:rPr>
        <w:t xml:space="preserve"> </w:t>
      </w:r>
      <w:r w:rsidR="003E7863" w:rsidRPr="003E7863">
        <w:rPr>
          <w:rFonts w:ascii="Arial" w:hAnsi="Arial"/>
        </w:rPr>
        <w:t>come nuovo parametro.</w:t>
      </w:r>
    </w:p>
    <w:p w14:paraId="5C36A3BC" w14:textId="2C0211BE" w:rsidR="00772F4E" w:rsidRDefault="00C20CC2" w:rsidP="00766DC8">
      <w:pPr>
        <w:pStyle w:val="Textkrper"/>
        <w:spacing w:before="120" w:after="120" w:line="260" w:lineRule="exact"/>
        <w:jc w:val="both"/>
        <w:rPr>
          <w:rFonts w:ascii="Arial" w:hAnsi="Arial"/>
          <w:b w:val="0"/>
          <w:bCs w:val="0"/>
        </w:rPr>
      </w:pPr>
      <w:r>
        <w:rPr>
          <w:rFonts w:ascii="Arial" w:hAnsi="Arial"/>
          <w:b w:val="0"/>
        </w:rPr>
        <w:t>Sulla base del nuovo metodo di prova</w:t>
      </w:r>
      <w:r w:rsidR="003E7863">
        <w:rPr>
          <w:rFonts w:ascii="Arial" w:hAnsi="Arial"/>
          <w:b w:val="0"/>
        </w:rPr>
        <w:t>,</w:t>
      </w:r>
      <w:r>
        <w:rPr>
          <w:rFonts w:ascii="Arial" w:hAnsi="Arial"/>
          <w:b w:val="0"/>
        </w:rPr>
        <w:t xml:space="preserve">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definisce la tensione di esercizio massima </w:t>
      </w:r>
      <w:proofErr w:type="spellStart"/>
      <w:r>
        <w:rPr>
          <w:rFonts w:ascii="Arial" w:hAnsi="Arial"/>
          <w:b w:val="0"/>
        </w:rPr>
        <w:t>V</w:t>
      </w:r>
      <w:r>
        <w:rPr>
          <w:rFonts w:ascii="Arial" w:hAnsi="Arial"/>
          <w:b w:val="0"/>
          <w:vertAlign w:val="subscript"/>
        </w:rPr>
        <w:t>op</w:t>
      </w:r>
      <w:proofErr w:type="spellEnd"/>
      <w:r>
        <w:rPr>
          <w:rFonts w:ascii="Arial" w:hAnsi="Arial"/>
          <w:b w:val="0"/>
        </w:rPr>
        <w:t xml:space="preserve"> nelle sue schede tecniche. Si tratta della tensione con cui può essere alimentato in modo continuativo un induttore durante l'utilizzo senza incidere sulle prestazioni, rischiare di danneggiare o surriscaldare l'induttore. La tensione di </w:t>
      </w:r>
      <w:proofErr w:type="gramStart"/>
      <w:r>
        <w:rPr>
          <w:rFonts w:ascii="Arial" w:hAnsi="Arial"/>
          <w:b w:val="0"/>
        </w:rPr>
        <w:t>esercizio quindi</w:t>
      </w:r>
      <w:proofErr w:type="gramEnd"/>
      <w:r>
        <w:rPr>
          <w:rFonts w:ascii="Arial" w:hAnsi="Arial"/>
          <w:b w:val="0"/>
        </w:rPr>
        <w:t xml:space="preserve"> è un valore limite per la tensione di ingresso a cui l'induttore può essere utilizzato in modo affidabile in un'applicazione senza danni irreversibili. </w:t>
      </w:r>
    </w:p>
    <w:p w14:paraId="0F0DF5B6" w14:textId="77777777" w:rsidR="003E7863" w:rsidRDefault="00A033EE" w:rsidP="00766DC8">
      <w:pPr>
        <w:pStyle w:val="Textkrper"/>
        <w:spacing w:before="120" w:after="120" w:line="260" w:lineRule="exact"/>
        <w:jc w:val="both"/>
        <w:rPr>
          <w:rFonts w:ascii="Arial" w:hAnsi="Arial"/>
          <w:b w:val="0"/>
        </w:rPr>
      </w:pPr>
      <w:r>
        <w:rPr>
          <w:rFonts w:ascii="Arial" w:hAnsi="Arial"/>
          <w:b w:val="0"/>
        </w:rPr>
        <w:t xml:space="preserve">Il metodo di prova testa il comportamento degli induttori fino ai loro limiti di tensione in condizioni reali in un convertitore full-bridge CC-CC (transitori di tensione fino a 60 V/ns e frequenze fino a 2 MHz). </w:t>
      </w:r>
      <w:r w:rsidR="003E7863" w:rsidRPr="003E7863">
        <w:rPr>
          <w:rFonts w:ascii="Arial" w:hAnsi="Arial"/>
          <w:b w:val="0"/>
        </w:rPr>
        <w:t>Il limite approssimativo della tensione viene innanzitutto valutato mediante un test a breve termine. Su questa base viene quindi definita la tensione operativa e verificata con un test a lungo termine.</w:t>
      </w:r>
    </w:p>
    <w:p w14:paraId="30922FF5" w14:textId="66A97C2F" w:rsidR="00766DC8" w:rsidRPr="00756F17" w:rsidRDefault="00766DC8" w:rsidP="00766DC8">
      <w:pPr>
        <w:pStyle w:val="Textkrper"/>
        <w:spacing w:before="120" w:after="120" w:line="260" w:lineRule="exact"/>
        <w:jc w:val="both"/>
        <w:rPr>
          <w:rFonts w:ascii="Arial" w:hAnsi="Arial"/>
        </w:rPr>
      </w:pPr>
      <w:r>
        <w:rPr>
          <w:rFonts w:ascii="Arial" w:hAnsi="Arial"/>
        </w:rPr>
        <w:t>Base teorica</w:t>
      </w:r>
    </w:p>
    <w:p w14:paraId="7BD4EFA1" w14:textId="6979055C" w:rsidR="00711FC3" w:rsidRDefault="00711FC3" w:rsidP="00711FC3">
      <w:pPr>
        <w:pStyle w:val="Textkrper"/>
        <w:spacing w:before="120" w:after="120" w:line="260" w:lineRule="exact"/>
        <w:jc w:val="both"/>
        <w:rPr>
          <w:rFonts w:ascii="Arial" w:hAnsi="Arial"/>
          <w:b w:val="0"/>
          <w:bCs w:val="0"/>
        </w:rPr>
      </w:pPr>
      <w:r>
        <w:rPr>
          <w:rFonts w:ascii="Arial" w:hAnsi="Arial"/>
          <w:b w:val="0"/>
        </w:rPr>
        <w:t xml:space="preserve">Grazie ai continui progressi tecnologici nel settore dei semiconduttori oggi i MOSFET possono raggiungere alte densità di corrente e brevi tempi di commutazione. Per questa ragione negli ultimi anni la questione della </w:t>
      </w:r>
      <w:r w:rsidR="003E7863">
        <w:rPr>
          <w:rFonts w:ascii="Arial" w:hAnsi="Arial"/>
          <w:b w:val="0"/>
        </w:rPr>
        <w:t>rigidità</w:t>
      </w:r>
      <w:r>
        <w:rPr>
          <w:rFonts w:ascii="Arial" w:hAnsi="Arial"/>
          <w:b w:val="0"/>
        </w:rPr>
        <w:t xml:space="preserve"> dielettrica degli induttori ha assunto un'importanza sempre maggiore nella scelta dell'induttanza adatta.</w:t>
      </w:r>
    </w:p>
    <w:p w14:paraId="3A0C5ECA" w14:textId="2402E103" w:rsidR="00711FC3" w:rsidRDefault="00982F10" w:rsidP="00711FC3">
      <w:pPr>
        <w:pStyle w:val="Textkrper"/>
        <w:spacing w:before="120" w:after="120" w:line="260" w:lineRule="exact"/>
        <w:jc w:val="both"/>
        <w:rPr>
          <w:rFonts w:ascii="Arial" w:hAnsi="Arial"/>
          <w:b w:val="0"/>
          <w:bCs w:val="0"/>
        </w:rPr>
      </w:pPr>
      <w:r w:rsidRPr="00982F10">
        <w:rPr>
          <w:rFonts w:ascii="Arial" w:hAnsi="Arial"/>
          <w:b w:val="0"/>
        </w:rPr>
        <w:t>L'ottimizzazione continua del processo di produzione e della composizione del materiale degli induttori stampati consente un'elevata permeabilità del materiale di ferrite per ottenere i valori di induttanza più alti possibili nel più piccolo spazio possibile. La densità di potenza per volume può quindi essere aumentata continuamente</w:t>
      </w:r>
      <w:r w:rsidR="00711FC3">
        <w:rPr>
          <w:rFonts w:ascii="Arial" w:hAnsi="Arial"/>
          <w:b w:val="0"/>
        </w:rPr>
        <w:t>.</w:t>
      </w:r>
    </w:p>
    <w:p w14:paraId="7149BD69" w14:textId="77777777" w:rsidR="00982F10" w:rsidRDefault="00982F10" w:rsidP="00C05458">
      <w:pPr>
        <w:pStyle w:val="Textkrper"/>
        <w:spacing w:before="120" w:after="120" w:line="260" w:lineRule="exact"/>
        <w:jc w:val="both"/>
        <w:rPr>
          <w:rFonts w:ascii="Arial" w:hAnsi="Arial"/>
          <w:b w:val="0"/>
        </w:rPr>
      </w:pPr>
      <w:r w:rsidRPr="00982F10">
        <w:rPr>
          <w:rFonts w:ascii="Arial" w:hAnsi="Arial"/>
          <w:b w:val="0"/>
        </w:rPr>
        <w:lastRenderedPageBreak/>
        <w:t>Ciò ha comportato un aumento costante della percentuale di polvere di ferro o leghe di ferro rispetto all'isolamento del legante, con la conseguenza che la distanza tra i singoli grani è diventata progressivamente più piccola. Se la barriera isolante tra le singole particelle metalliche non è sufficientemente alta per la tensione applicata nell'applicazione, viene creato un percorso conduttivo attraverso il materiale del nucleo, causato dall'arco tra le singole particelle metalliche. Nell'applicazione si può osservare che il profilo della corrente di ondulazione cambia. Schematicamente, ora c'è un resistore parallelo all'induttore.</w:t>
      </w:r>
    </w:p>
    <w:p w14:paraId="666D4046" w14:textId="7D3F6E61" w:rsidR="00C05458" w:rsidRPr="007B46DF" w:rsidRDefault="00C05458" w:rsidP="00C05458">
      <w:pPr>
        <w:pStyle w:val="Textkrper"/>
        <w:spacing w:before="120" w:after="120" w:line="260" w:lineRule="exact"/>
        <w:jc w:val="both"/>
        <w:rPr>
          <w:rFonts w:ascii="Arial" w:hAnsi="Arial"/>
          <w:b w:val="0"/>
          <w:bCs w:val="0"/>
        </w:rPr>
      </w:pPr>
      <w:r>
        <w:rPr>
          <w:rFonts w:ascii="Arial" w:hAnsi="Arial"/>
          <w:b w:val="0"/>
        </w:rPr>
        <w:t xml:space="preserve">Conseguenze: </w:t>
      </w:r>
      <w:r w:rsidR="00982F10">
        <w:rPr>
          <w:rFonts w:ascii="Arial" w:hAnsi="Arial"/>
          <w:b w:val="0"/>
        </w:rPr>
        <w:t>il self-</w:t>
      </w:r>
      <w:proofErr w:type="spellStart"/>
      <w:r w:rsidR="00982F10">
        <w:rPr>
          <w:rFonts w:ascii="Arial" w:hAnsi="Arial"/>
          <w:b w:val="0"/>
        </w:rPr>
        <w:t>heating</w:t>
      </w:r>
      <w:proofErr w:type="spellEnd"/>
      <w:r w:rsidR="00982F10">
        <w:rPr>
          <w:rFonts w:ascii="Arial" w:hAnsi="Arial"/>
          <w:b w:val="0"/>
        </w:rPr>
        <w:t xml:space="preserve"> </w:t>
      </w:r>
      <w:r>
        <w:rPr>
          <w:rFonts w:ascii="Arial" w:hAnsi="Arial"/>
          <w:b w:val="0"/>
        </w:rPr>
        <w:t xml:space="preserve">dell'induttore aumenta in modo drammatico a causa delle perdite crescenti. Queste perdite supplementari diminuiscono notevolmente l'efficienza dell'induttore. Si perde il vantaggio di un convertitore </w:t>
      </w:r>
      <w:r w:rsidR="00982F10">
        <w:rPr>
          <w:rFonts w:ascii="Arial" w:hAnsi="Arial"/>
          <w:b w:val="0"/>
        </w:rPr>
        <w:t>DC</w:t>
      </w:r>
      <w:r>
        <w:rPr>
          <w:rFonts w:ascii="Arial" w:hAnsi="Arial"/>
          <w:b w:val="0"/>
        </w:rPr>
        <w:t>/</w:t>
      </w:r>
      <w:r w:rsidR="00982F10">
        <w:rPr>
          <w:rFonts w:ascii="Arial" w:hAnsi="Arial"/>
          <w:b w:val="0"/>
        </w:rPr>
        <w:t>DC</w:t>
      </w:r>
      <w:r>
        <w:rPr>
          <w:rFonts w:ascii="Arial" w:hAnsi="Arial"/>
          <w:b w:val="0"/>
        </w:rPr>
        <w:t xml:space="preserve"> di trasmettere i livelli di tensione con maggiore efficienza.</w:t>
      </w:r>
    </w:p>
    <w:p w14:paraId="784E7E64" w14:textId="77777777" w:rsidR="00485E6F" w:rsidRDefault="00485E6F" w:rsidP="00485E6F">
      <w:pPr>
        <w:pStyle w:val="Textkrper"/>
        <w:spacing w:before="120" w:after="120" w:line="260" w:lineRule="exact"/>
        <w:jc w:val="both"/>
        <w:rPr>
          <w:rFonts w:ascii="Arial" w:hAnsi="Arial"/>
          <w:b w:val="0"/>
          <w:bCs w:val="0"/>
        </w:rPr>
      </w:pPr>
    </w:p>
    <w:p w14:paraId="1848F62E" w14:textId="77777777" w:rsidR="00F20FF2" w:rsidRPr="00B94DAE" w:rsidRDefault="00F20FF2" w:rsidP="00485E6F">
      <w:pPr>
        <w:pStyle w:val="Textkrper"/>
        <w:spacing w:before="120" w:after="120" w:line="260" w:lineRule="exact"/>
        <w:jc w:val="both"/>
        <w:rPr>
          <w:rFonts w:ascii="Arial" w:hAnsi="Arial"/>
          <w:b w:val="0"/>
          <w:bCs w:val="0"/>
        </w:rPr>
      </w:pPr>
    </w:p>
    <w:p w14:paraId="7653B424" w14:textId="77777777" w:rsidR="00485E6F" w:rsidRPr="001774B9" w:rsidRDefault="00485E6F" w:rsidP="00485E6F">
      <w:pPr>
        <w:pStyle w:val="PITextkrper"/>
        <w:pBdr>
          <w:top w:val="single" w:sz="4" w:space="1" w:color="auto"/>
        </w:pBdr>
        <w:spacing w:before="240"/>
        <w:rPr>
          <w:b/>
          <w:sz w:val="18"/>
          <w:szCs w:val="18"/>
        </w:rPr>
      </w:pPr>
    </w:p>
    <w:p w14:paraId="102EB42A" w14:textId="77777777" w:rsidR="00264264" w:rsidRPr="00970FD9" w:rsidRDefault="00264264" w:rsidP="00264264">
      <w:pPr>
        <w:spacing w:after="120" w:line="280" w:lineRule="exact"/>
        <w:rPr>
          <w:rFonts w:ascii="Arial" w:hAnsi="Arial" w:cs="Arial"/>
          <w:b/>
          <w:bCs/>
          <w:sz w:val="18"/>
          <w:szCs w:val="18"/>
        </w:rPr>
      </w:pPr>
      <w:r w:rsidRPr="00970FD9">
        <w:rPr>
          <w:rFonts w:ascii="Arial" w:hAnsi="Arial"/>
          <w:b/>
          <w:sz w:val="18"/>
        </w:rPr>
        <w:t>Immagini disponibili</w:t>
      </w:r>
    </w:p>
    <w:p w14:paraId="6AC26ECB" w14:textId="77777777" w:rsidR="00264264" w:rsidRPr="00970FD9" w:rsidRDefault="00264264" w:rsidP="00264264">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12" w:history="1">
        <w:r w:rsidRPr="00970FD9">
          <w:rPr>
            <w:rStyle w:val="Hyperlink"/>
            <w:rFonts w:ascii="Arial" w:hAnsi="Arial" w:cs="Arial"/>
            <w:sz w:val="18"/>
            <w:szCs w:val="18"/>
          </w:rPr>
          <w:t>https://kk.htcm.de/press-releases/wuerth/</w:t>
        </w:r>
      </w:hyperlink>
    </w:p>
    <w:tbl>
      <w:tblPr>
        <w:tblW w:w="797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0"/>
        <w:gridCol w:w="4961"/>
      </w:tblGrid>
      <w:tr w:rsidR="00DE2880" w:rsidRPr="00B94DAE" w14:paraId="415A195B" w14:textId="4E35DD6D" w:rsidTr="00DE2880">
        <w:trPr>
          <w:trHeight w:val="1701"/>
        </w:trPr>
        <w:tc>
          <w:tcPr>
            <w:tcW w:w="3010" w:type="dxa"/>
          </w:tcPr>
          <w:p w14:paraId="5A320371" w14:textId="1DAFB2DA" w:rsidR="00DE2880" w:rsidRPr="00B94DAE" w:rsidRDefault="00DE2880" w:rsidP="00CE17D6">
            <w:pPr>
              <w:pStyle w:val="txt"/>
              <w:rPr>
                <w:b/>
                <w:bCs/>
                <w:sz w:val="18"/>
              </w:rPr>
            </w:pPr>
            <w:r>
              <w:rPr>
                <w:b/>
              </w:rPr>
              <w:br/>
            </w:r>
            <w:r>
              <w:rPr>
                <w:noProof/>
              </w:rPr>
              <w:drawing>
                <wp:inline distT="0" distB="0" distL="0" distR="0" wp14:anchorId="76983856" wp14:editId="4CF3D514">
                  <wp:extent cx="1803886" cy="1440000"/>
                  <wp:effectExtent l="0" t="0" r="6350" b="8255"/>
                  <wp:docPr id="132415738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7801" r="11573"/>
                          <a:stretch/>
                        </pic:blipFill>
                        <pic:spPr bwMode="auto">
                          <a:xfrm>
                            <a:off x="0" y="0"/>
                            <a:ext cx="1803886" cy="144000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t xml:space="preserve">Foto di: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14:paraId="4BBAF83E" w14:textId="237CE54C" w:rsidR="00DE2880" w:rsidRPr="00B94DAE" w:rsidRDefault="004909BA" w:rsidP="00CE17D6">
            <w:pPr>
              <w:autoSpaceDE w:val="0"/>
              <w:autoSpaceDN w:val="0"/>
              <w:adjustRightInd w:val="0"/>
              <w:rPr>
                <w:rFonts w:ascii="Arial" w:hAnsi="Arial" w:cs="Arial"/>
                <w:b/>
                <w:sz w:val="18"/>
                <w:szCs w:val="18"/>
              </w:rPr>
            </w:pPr>
            <w:r>
              <w:rPr>
                <w:rFonts w:ascii="Arial" w:hAnsi="Arial"/>
                <w:b/>
                <w:sz w:val="18"/>
              </w:rPr>
              <w:t xml:space="preserve">Applicazione esemplificativa: convertitore </w:t>
            </w:r>
            <w:r w:rsidR="00982F10">
              <w:rPr>
                <w:rFonts w:ascii="Arial" w:hAnsi="Arial"/>
                <w:b/>
                <w:sz w:val="18"/>
              </w:rPr>
              <w:t>DC</w:t>
            </w:r>
            <w:r>
              <w:rPr>
                <w:rFonts w:ascii="Arial" w:hAnsi="Arial"/>
                <w:b/>
                <w:sz w:val="18"/>
              </w:rPr>
              <w:t>/</w:t>
            </w:r>
            <w:r w:rsidR="00982F10">
              <w:rPr>
                <w:rFonts w:ascii="Arial" w:hAnsi="Arial"/>
                <w:b/>
                <w:sz w:val="18"/>
              </w:rPr>
              <w:t>DC</w:t>
            </w:r>
          </w:p>
          <w:p w14:paraId="5ED23578" w14:textId="77777777" w:rsidR="00DE2880" w:rsidRPr="00B94DAE" w:rsidRDefault="00DE2880" w:rsidP="00CE17D6">
            <w:pPr>
              <w:autoSpaceDE w:val="0"/>
              <w:autoSpaceDN w:val="0"/>
              <w:adjustRightInd w:val="0"/>
              <w:rPr>
                <w:rFonts w:ascii="Arial" w:hAnsi="Arial" w:cs="Arial"/>
                <w:b/>
                <w:bCs/>
                <w:sz w:val="18"/>
                <w:szCs w:val="18"/>
              </w:rPr>
            </w:pPr>
          </w:p>
        </w:tc>
        <w:tc>
          <w:tcPr>
            <w:tcW w:w="4961" w:type="dxa"/>
          </w:tcPr>
          <w:p w14:paraId="014D382B" w14:textId="19F6BCD3" w:rsidR="00DE2880" w:rsidRPr="00DE2880" w:rsidRDefault="00DE2880" w:rsidP="00DE2880">
            <w:pPr>
              <w:pStyle w:val="txt"/>
              <w:rPr>
                <w:b/>
              </w:rPr>
            </w:pPr>
            <w:r>
              <w:rPr>
                <w:b/>
              </w:rPr>
              <w:br/>
            </w:r>
            <w:r>
              <w:rPr>
                <w:noProof/>
              </w:rPr>
              <w:drawing>
                <wp:inline distT="0" distB="0" distL="0" distR="0" wp14:anchorId="5B961F52" wp14:editId="0A75EC12">
                  <wp:extent cx="2988178" cy="1440000"/>
                  <wp:effectExtent l="0" t="0" r="3175" b="8255"/>
                  <wp:docPr id="10335421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542178" name=""/>
                          <pic:cNvPicPr/>
                        </pic:nvPicPr>
                        <pic:blipFill>
                          <a:blip r:embed="rId14"/>
                          <a:stretch>
                            <a:fillRect/>
                          </a:stretch>
                        </pic:blipFill>
                        <pic:spPr>
                          <a:xfrm>
                            <a:off x="0" y="0"/>
                            <a:ext cx="2988178" cy="1440000"/>
                          </a:xfrm>
                          <a:prstGeom prst="rect">
                            <a:avLst/>
                          </a:prstGeom>
                        </pic:spPr>
                      </pic:pic>
                    </a:graphicData>
                  </a:graphic>
                </wp:inline>
              </w:drawing>
            </w:r>
            <w:r>
              <w:rPr>
                <w:sz w:val="16"/>
              </w:rPr>
              <w:t xml:space="preserve">Foto di: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14:paraId="037C80AF" w14:textId="323024A0" w:rsidR="00DE2880" w:rsidRPr="00B94DAE" w:rsidRDefault="004909BA" w:rsidP="0014276D">
            <w:pPr>
              <w:autoSpaceDE w:val="0"/>
              <w:autoSpaceDN w:val="0"/>
              <w:adjustRightInd w:val="0"/>
              <w:rPr>
                <w:b/>
              </w:rPr>
            </w:pPr>
            <w:r w:rsidRPr="00AE0CB1">
              <w:rPr>
                <w:rFonts w:ascii="Arial" w:hAnsi="Arial"/>
                <w:b/>
                <w:sz w:val="18"/>
              </w:rPr>
              <w:t>La nuova caratteristica di prodotto nella scheda dati tecnici offre trasparenza riguardo alla tensione di esercizio massima dell'induttore nell'applicazione.</w:t>
            </w:r>
            <w:r w:rsidR="00F20FF2">
              <w:rPr>
                <w:rFonts w:ascii="Arial" w:hAnsi="Arial"/>
                <w:b/>
                <w:sz w:val="18"/>
              </w:rPr>
              <w:br/>
            </w:r>
          </w:p>
        </w:tc>
      </w:tr>
    </w:tbl>
    <w:p w14:paraId="388B8CF4" w14:textId="77777777" w:rsidR="00485E6F" w:rsidRPr="001774B9" w:rsidRDefault="00485E6F" w:rsidP="00485E6F">
      <w:pPr>
        <w:pStyle w:val="PITextkrper"/>
        <w:rPr>
          <w:b/>
          <w:bCs/>
          <w:sz w:val="18"/>
          <w:szCs w:val="18"/>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1774B9" w:rsidRDefault="00485E6F" w:rsidP="00485E6F">
      <w:pPr>
        <w:pStyle w:val="PITextkrper"/>
        <w:pBdr>
          <w:top w:val="single" w:sz="4" w:space="1" w:color="auto"/>
        </w:pBdr>
        <w:spacing w:before="240"/>
        <w:rPr>
          <w:b/>
          <w:sz w:val="18"/>
          <w:szCs w:val="18"/>
        </w:rPr>
      </w:pPr>
    </w:p>
    <w:p w14:paraId="41F982DB" w14:textId="77777777" w:rsidR="00264264" w:rsidRPr="00970FD9" w:rsidRDefault="00264264" w:rsidP="00264264">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eiSos </w:t>
      </w:r>
    </w:p>
    <w:bookmarkEnd w:id="0"/>
    <w:p w14:paraId="1C1DDF8E" w14:textId="77777777" w:rsidR="00264264" w:rsidRPr="00970FD9" w:rsidRDefault="00264264" w:rsidP="00264264">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uno dei maggiori produttori europei di componenti passivi, attivo in 50 Paesi, con stabilimenti in Europa, Asia e America settentrionale che riforniscono una clientela sempre crescente a livello mondiale.</w:t>
      </w:r>
    </w:p>
    <w:p w14:paraId="411615D0" w14:textId="77777777" w:rsidR="00264264" w:rsidRPr="0077777E" w:rsidRDefault="00264264" w:rsidP="00264264">
      <w:pPr>
        <w:pStyle w:val="Textkrper"/>
        <w:spacing w:before="120" w:after="120" w:line="276" w:lineRule="auto"/>
        <w:jc w:val="both"/>
        <w:rPr>
          <w:rFonts w:ascii="Arial" w:hAnsi="Arial"/>
          <w:b w:val="0"/>
        </w:rPr>
      </w:pPr>
      <w:r w:rsidRPr="00970FD9">
        <w:rPr>
          <w:rFonts w:ascii="Arial" w:hAnsi="Arial"/>
          <w:b w:val="0"/>
        </w:rPr>
        <w:lastRenderedPageBreak/>
        <w:t xml:space="preserve">La gamma di prodotti comprende componenti per la compatibilità elettromagnetica (CEM), induttori, trasformatori, componenti HF, varistori, condensatori, resistenze, quarzi, oscillatori, moduli d'alimentazione, bobine per il trasferimento wireless di potenza, LED, sensori, </w:t>
      </w:r>
      <w:r>
        <w:rPr>
          <w:rFonts w:ascii="Arial" w:hAnsi="Arial"/>
          <w:b w:val="0"/>
        </w:rPr>
        <w:t xml:space="preserve">moduli radio, </w:t>
      </w:r>
      <w:r w:rsidRPr="00970FD9">
        <w:rPr>
          <w:rFonts w:ascii="Arial" w:hAnsi="Arial"/>
          <w:b w:val="0"/>
        </w:rPr>
        <w:t>connettori, elementi per gli alimentatori di potenza, tasti e interruttori, tecnologia per la connessione, portafusibili e soluzioni per la trasmissione wireless dei dati.</w:t>
      </w:r>
      <w:r>
        <w:rPr>
          <w:rFonts w:ascii="Arial" w:hAnsi="Arial"/>
          <w:b w:val="0"/>
        </w:rPr>
        <w:t xml:space="preserve"> </w:t>
      </w:r>
      <w:r w:rsidRPr="0077777E">
        <w:rPr>
          <w:rFonts w:ascii="Arial" w:hAnsi="Arial"/>
          <w:b w:val="0"/>
        </w:rPr>
        <w:t>La gamma di prodotti è completata da soluzioni custom.</w:t>
      </w:r>
    </w:p>
    <w:p w14:paraId="074FB47E" w14:textId="77777777" w:rsidR="00264264" w:rsidRPr="00970FD9" w:rsidRDefault="00264264" w:rsidP="00264264">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17CBF6C8" w14:textId="77777777" w:rsidR="00264264" w:rsidRPr="00970FD9" w:rsidRDefault="00264264" w:rsidP="00264264">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xml:space="preserve">, leader mondiale nell’ambito dello sviluppo, della produzione e della commercializzazione di materiale di montaggio e di fissaggio e offre impiego a </w:t>
      </w:r>
      <w:r>
        <w:rPr>
          <w:rFonts w:ascii="Arial" w:hAnsi="Arial"/>
          <w:b w:val="0"/>
        </w:rPr>
        <w:t>79</w:t>
      </w:r>
      <w:r w:rsidRPr="00970FD9">
        <w:rPr>
          <w:rFonts w:ascii="Arial" w:hAnsi="Arial"/>
          <w:b w:val="0"/>
        </w:rPr>
        <w:t>00 dipendenti. Nel 202</w:t>
      </w:r>
      <w:r>
        <w:rPr>
          <w:rFonts w:ascii="Arial" w:hAnsi="Arial"/>
          <w:b w:val="0"/>
        </w:rPr>
        <w:t>3</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24</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bookmarkEnd w:id="1"/>
    <w:p w14:paraId="06C70232" w14:textId="77777777" w:rsidR="00264264" w:rsidRPr="00970FD9" w:rsidRDefault="00264264" w:rsidP="00264264">
      <w:pPr>
        <w:pStyle w:val="Textkrper"/>
        <w:spacing w:before="120" w:after="120" w:line="276" w:lineRule="auto"/>
        <w:rPr>
          <w:rFonts w:ascii="Arial" w:hAnsi="Arial"/>
          <w:b w:val="0"/>
          <w:lang w:val="en-US"/>
        </w:rPr>
      </w:pPr>
      <w:r w:rsidRPr="00970FD9">
        <w:rPr>
          <w:rFonts w:ascii="Arial" w:hAnsi="Arial"/>
          <w:b w:val="0"/>
          <w:lang w:val="en-US"/>
        </w:rPr>
        <w:t xml:space="preserve">Würth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1BABD9BC" w14:textId="77777777" w:rsidR="00264264" w:rsidRPr="00970FD9" w:rsidRDefault="00264264" w:rsidP="00264264">
      <w:pPr>
        <w:pStyle w:val="Textkrper"/>
        <w:spacing w:before="120" w:after="120" w:line="276" w:lineRule="auto"/>
        <w:rPr>
          <w:rFonts w:ascii="Arial" w:hAnsi="Arial"/>
        </w:rPr>
      </w:pPr>
      <w:r w:rsidRPr="00970FD9">
        <w:rPr>
          <w:rFonts w:ascii="Arial" w:hAnsi="Arial"/>
        </w:rPr>
        <w:t>Per ulteriori informazioni consultare il sito www.we-online.com</w:t>
      </w:r>
    </w:p>
    <w:p w14:paraId="2ACCC329" w14:textId="77777777" w:rsidR="00264264" w:rsidRPr="00970FD9" w:rsidRDefault="00264264" w:rsidP="00264264">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264264" w:rsidRPr="00625C04" w14:paraId="0D88B1D7" w14:textId="77777777" w:rsidTr="00522F9E">
        <w:tc>
          <w:tcPr>
            <w:tcW w:w="3902" w:type="dxa"/>
            <w:shd w:val="clear" w:color="auto" w:fill="auto"/>
            <w:hideMark/>
          </w:tcPr>
          <w:p w14:paraId="0C67C8C6" w14:textId="77777777" w:rsidR="00264264" w:rsidRPr="00970FD9" w:rsidRDefault="00264264" w:rsidP="00522F9E">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048E1559" w14:textId="77777777" w:rsidR="00264264" w:rsidRPr="00970FD9" w:rsidRDefault="00264264" w:rsidP="00522F9E">
            <w:pPr>
              <w:spacing w:before="120" w:after="120" w:line="276" w:lineRule="auto"/>
              <w:rPr>
                <w:rFonts w:ascii="Arial" w:hAnsi="Arial" w:cs="Arial"/>
                <w:sz w:val="20"/>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Pr>
                <w:rFonts w:ascii="Arial" w:hAnsi="Arial"/>
                <w:sz w:val="20"/>
              </w:rPr>
              <w:t>Clarita-Bernhard-</w:t>
            </w:r>
            <w:proofErr w:type="spellStart"/>
            <w:r>
              <w:rPr>
                <w:rFonts w:ascii="Arial" w:hAnsi="Arial"/>
                <w:sz w:val="20"/>
              </w:rPr>
              <w:t>S</w:t>
            </w:r>
            <w:r w:rsidRPr="00970FD9">
              <w:rPr>
                <w:rFonts w:ascii="Arial" w:hAnsi="Arial"/>
                <w:sz w:val="20"/>
              </w:rPr>
              <w:t>trasse</w:t>
            </w:r>
            <w:proofErr w:type="spellEnd"/>
            <w:r w:rsidRPr="00970FD9">
              <w:rPr>
                <w:rFonts w:ascii="Arial" w:hAnsi="Arial"/>
                <w:sz w:val="20"/>
              </w:rPr>
              <w:t xml:space="preserve"> </w:t>
            </w:r>
            <w:r>
              <w:rPr>
                <w:rFonts w:ascii="Arial" w:hAnsi="Arial"/>
                <w:sz w:val="20"/>
              </w:rPr>
              <w:t>9</w:t>
            </w:r>
            <w:r w:rsidRPr="00970FD9">
              <w:rPr>
                <w:rFonts w:ascii="Arial" w:hAnsi="Arial" w:cs="Arial"/>
                <w:sz w:val="20"/>
              </w:rPr>
              <w:br/>
            </w:r>
            <w:r>
              <w:rPr>
                <w:rFonts w:ascii="Arial" w:hAnsi="Arial"/>
                <w:sz w:val="20"/>
              </w:rPr>
              <w:t>81249 München</w:t>
            </w:r>
            <w:r w:rsidRPr="00970FD9">
              <w:rPr>
                <w:rFonts w:ascii="Arial" w:hAnsi="Arial"/>
                <w:sz w:val="20"/>
              </w:rPr>
              <w:br/>
              <w:t>Germania</w:t>
            </w:r>
          </w:p>
          <w:p w14:paraId="59D59A66" w14:textId="77777777" w:rsidR="00264264" w:rsidRPr="0077777E" w:rsidRDefault="00264264" w:rsidP="00522F9E">
            <w:pPr>
              <w:spacing w:before="120" w:after="120" w:line="276" w:lineRule="auto"/>
              <w:rPr>
                <w:rFonts w:ascii="Arial" w:hAnsi="Arial" w:cs="Arial"/>
                <w:bCs/>
                <w:sz w:val="20"/>
              </w:rPr>
            </w:pPr>
            <w:r w:rsidRPr="0077777E">
              <w:rPr>
                <w:rFonts w:ascii="Arial" w:hAnsi="Arial"/>
                <w:sz w:val="20"/>
              </w:rPr>
              <w:t>Telefono: +49 7942 945-5186</w:t>
            </w:r>
            <w:r w:rsidRPr="0077777E">
              <w:rPr>
                <w:rFonts w:ascii="Arial" w:hAnsi="Arial" w:cs="Arial"/>
                <w:sz w:val="20"/>
              </w:rPr>
              <w:br/>
            </w:r>
            <w:r w:rsidRPr="0077777E">
              <w:rPr>
                <w:rFonts w:ascii="Arial" w:hAnsi="Arial"/>
                <w:sz w:val="20"/>
              </w:rPr>
              <w:t>E-Mail: sarah.hurst@we-online.de</w:t>
            </w:r>
          </w:p>
          <w:p w14:paraId="72911531" w14:textId="77777777" w:rsidR="00264264" w:rsidRPr="00625C04" w:rsidRDefault="00264264" w:rsidP="00522F9E">
            <w:pPr>
              <w:spacing w:before="120" w:after="120" w:line="276" w:lineRule="auto"/>
              <w:rPr>
                <w:rFonts w:ascii="Arial" w:hAnsi="Arial" w:cs="Arial"/>
                <w:bCs/>
                <w:sz w:val="20"/>
              </w:rPr>
            </w:pPr>
            <w:r>
              <w:rPr>
                <w:rFonts w:ascii="Arial" w:hAnsi="Arial"/>
                <w:sz w:val="20"/>
              </w:rPr>
              <w:t>www.we-online.com</w:t>
            </w:r>
          </w:p>
          <w:p w14:paraId="42E6E659" w14:textId="77777777" w:rsidR="00264264" w:rsidRPr="00625C04" w:rsidRDefault="00264264" w:rsidP="00522F9E">
            <w:pPr>
              <w:spacing w:before="120" w:after="120" w:line="276" w:lineRule="auto"/>
              <w:rPr>
                <w:rFonts w:ascii="Arial" w:hAnsi="Arial" w:cs="Arial"/>
                <w:bCs/>
                <w:sz w:val="20"/>
              </w:rPr>
            </w:pPr>
          </w:p>
        </w:tc>
        <w:tc>
          <w:tcPr>
            <w:tcW w:w="3193" w:type="dxa"/>
            <w:shd w:val="clear" w:color="auto" w:fill="auto"/>
            <w:hideMark/>
          </w:tcPr>
          <w:p w14:paraId="2F1FAD63" w14:textId="77777777" w:rsidR="00264264" w:rsidRPr="00970FD9" w:rsidRDefault="00264264" w:rsidP="00522F9E">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6D4B8C9F" w14:textId="77777777" w:rsidR="00264264" w:rsidRPr="00970FD9" w:rsidRDefault="00264264" w:rsidP="00522F9E">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065EB1EA" w14:textId="77777777" w:rsidR="00264264" w:rsidRPr="00970FD9" w:rsidRDefault="00264264" w:rsidP="00522F9E">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79DC251D" w14:textId="77777777" w:rsidR="00264264" w:rsidRPr="00625C04" w:rsidRDefault="00264264" w:rsidP="00522F9E">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835137">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2DE09" w14:textId="77777777" w:rsidR="00350E63" w:rsidRDefault="00350E63">
      <w:r>
        <w:separator/>
      </w:r>
    </w:p>
  </w:endnote>
  <w:endnote w:type="continuationSeparator" w:id="0">
    <w:p w14:paraId="04A41D22" w14:textId="77777777" w:rsidR="00350E63" w:rsidRDefault="0035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tillium Web">
    <w:charset w:val="00"/>
    <w:family w:val="auto"/>
    <w:pitch w:val="variable"/>
    <w:sig w:usb0="00000007" w:usb1="00000001"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25BED089" w:rsidR="00D84800" w:rsidRPr="001774B9"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rPr>
      <w:fldChar w:fldCharType="begin"/>
    </w:r>
    <w:r w:rsidRPr="001774B9">
      <w:rPr>
        <w:rFonts w:ascii="Arial" w:hAnsi="Arial" w:cs="Arial"/>
        <w:snapToGrid w:val="0"/>
        <w:sz w:val="16"/>
        <w:lang w:val="en-US"/>
      </w:rPr>
      <w:instrText xml:space="preserve"> FILENAME  \* MERGEFORMAT </w:instrText>
    </w:r>
    <w:r w:rsidRPr="00A74816">
      <w:rPr>
        <w:rFonts w:ascii="Arial" w:hAnsi="Arial" w:cs="Arial"/>
        <w:snapToGrid w:val="0"/>
        <w:sz w:val="16"/>
      </w:rPr>
      <w:fldChar w:fldCharType="separate"/>
    </w:r>
    <w:r w:rsidR="00AE0CB1" w:rsidRPr="001774B9">
      <w:rPr>
        <w:rFonts w:ascii="Arial" w:hAnsi="Arial" w:cs="Arial"/>
        <w:noProof/>
        <w:snapToGrid w:val="0"/>
        <w:sz w:val="16"/>
        <w:lang w:val="en-US"/>
      </w:rPr>
      <w:t>WTH1PI1489</w:t>
    </w:r>
    <w:r w:rsidR="00F20FF2">
      <w:rPr>
        <w:rFonts w:ascii="Arial" w:hAnsi="Arial" w:cs="Arial"/>
        <w:noProof/>
        <w:snapToGrid w:val="0"/>
        <w:sz w:val="16"/>
        <w:lang w:val="en-US"/>
      </w:rPr>
      <w:t>_</w:t>
    </w:r>
    <w:r w:rsidR="00B66947">
      <w:rPr>
        <w:rFonts w:ascii="Arial" w:hAnsi="Arial" w:cs="Arial"/>
        <w:noProof/>
        <w:snapToGrid w:val="0"/>
        <w:sz w:val="16"/>
        <w:lang w:val="en-US"/>
      </w:rPr>
      <w:t>it.docx</w:t>
    </w:r>
    <w:r w:rsidRPr="00A74816">
      <w:rPr>
        <w:rFonts w:ascii="Arial" w:hAnsi="Arial" w:cs="Arial"/>
        <w:snapToGrid w:val="0"/>
        <w:sz w:val="16"/>
      </w:rPr>
      <w:fldChar w:fldCharType="end"/>
    </w:r>
    <w:r w:rsidRPr="001774B9">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7EC92" w14:textId="77777777" w:rsidR="00350E63" w:rsidRDefault="00350E63">
      <w:r>
        <w:separator/>
      </w:r>
    </w:p>
  </w:footnote>
  <w:footnote w:type="continuationSeparator" w:id="0">
    <w:p w14:paraId="22730B1B" w14:textId="77777777" w:rsidR="00350E63" w:rsidRDefault="00350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0DBA6109" w:rsidR="00AD41FF" w:rsidRDefault="00BB3607"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768CAC49">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10CF"/>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B7C3F"/>
    <w:rsid w:val="000B7DD7"/>
    <w:rsid w:val="000C23E9"/>
    <w:rsid w:val="000C5B85"/>
    <w:rsid w:val="000C7562"/>
    <w:rsid w:val="000D1E12"/>
    <w:rsid w:val="000D248A"/>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48AA"/>
    <w:rsid w:val="0011527C"/>
    <w:rsid w:val="00117E5E"/>
    <w:rsid w:val="00123175"/>
    <w:rsid w:val="001254AB"/>
    <w:rsid w:val="001255F4"/>
    <w:rsid w:val="00125D37"/>
    <w:rsid w:val="001274FC"/>
    <w:rsid w:val="00131977"/>
    <w:rsid w:val="00131F4F"/>
    <w:rsid w:val="00135811"/>
    <w:rsid w:val="0014276D"/>
    <w:rsid w:val="001456DE"/>
    <w:rsid w:val="0014630E"/>
    <w:rsid w:val="001504E1"/>
    <w:rsid w:val="0015437A"/>
    <w:rsid w:val="00154E0D"/>
    <w:rsid w:val="00161F8B"/>
    <w:rsid w:val="0016652E"/>
    <w:rsid w:val="001667CD"/>
    <w:rsid w:val="001774B9"/>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0E66"/>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264"/>
    <w:rsid w:val="00264572"/>
    <w:rsid w:val="002647B1"/>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85E"/>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210C"/>
    <w:rsid w:val="00304188"/>
    <w:rsid w:val="00307B15"/>
    <w:rsid w:val="003105E2"/>
    <w:rsid w:val="003154CD"/>
    <w:rsid w:val="003156CA"/>
    <w:rsid w:val="00320451"/>
    <w:rsid w:val="00320E03"/>
    <w:rsid w:val="00321F48"/>
    <w:rsid w:val="00324A6A"/>
    <w:rsid w:val="0032557D"/>
    <w:rsid w:val="00326A8A"/>
    <w:rsid w:val="003375B0"/>
    <w:rsid w:val="00341B97"/>
    <w:rsid w:val="00346E77"/>
    <w:rsid w:val="00347536"/>
    <w:rsid w:val="00347F46"/>
    <w:rsid w:val="00350E63"/>
    <w:rsid w:val="00355E1C"/>
    <w:rsid w:val="00356C16"/>
    <w:rsid w:val="00357372"/>
    <w:rsid w:val="00366479"/>
    <w:rsid w:val="003668D1"/>
    <w:rsid w:val="0037012B"/>
    <w:rsid w:val="00372533"/>
    <w:rsid w:val="00376468"/>
    <w:rsid w:val="00376E2D"/>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863"/>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09BA"/>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0721A"/>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22CA"/>
    <w:rsid w:val="005C61CB"/>
    <w:rsid w:val="005C6D6A"/>
    <w:rsid w:val="005D160B"/>
    <w:rsid w:val="005D7454"/>
    <w:rsid w:val="005E1091"/>
    <w:rsid w:val="005E6D53"/>
    <w:rsid w:val="005F79FC"/>
    <w:rsid w:val="00603969"/>
    <w:rsid w:val="00604F45"/>
    <w:rsid w:val="0060621A"/>
    <w:rsid w:val="00606605"/>
    <w:rsid w:val="00607616"/>
    <w:rsid w:val="006123E2"/>
    <w:rsid w:val="006125AC"/>
    <w:rsid w:val="00615C3C"/>
    <w:rsid w:val="00616918"/>
    <w:rsid w:val="006177E2"/>
    <w:rsid w:val="0062517E"/>
    <w:rsid w:val="00625C04"/>
    <w:rsid w:val="006303C1"/>
    <w:rsid w:val="00633776"/>
    <w:rsid w:val="0063467B"/>
    <w:rsid w:val="0063628E"/>
    <w:rsid w:val="006503AE"/>
    <w:rsid w:val="00652895"/>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2CF6"/>
    <w:rsid w:val="006A34DE"/>
    <w:rsid w:val="006A6CD7"/>
    <w:rsid w:val="006B05BF"/>
    <w:rsid w:val="006B3831"/>
    <w:rsid w:val="006B3F8F"/>
    <w:rsid w:val="006B56DA"/>
    <w:rsid w:val="006B5888"/>
    <w:rsid w:val="006C5F83"/>
    <w:rsid w:val="006D04BD"/>
    <w:rsid w:val="006D10F8"/>
    <w:rsid w:val="006D3950"/>
    <w:rsid w:val="006D5A34"/>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1FC3"/>
    <w:rsid w:val="00712F34"/>
    <w:rsid w:val="0071735D"/>
    <w:rsid w:val="00717B00"/>
    <w:rsid w:val="00721BD1"/>
    <w:rsid w:val="00723236"/>
    <w:rsid w:val="00724D2B"/>
    <w:rsid w:val="00727453"/>
    <w:rsid w:val="0073468B"/>
    <w:rsid w:val="0073482F"/>
    <w:rsid w:val="007367F4"/>
    <w:rsid w:val="00740F24"/>
    <w:rsid w:val="00754F0B"/>
    <w:rsid w:val="00755485"/>
    <w:rsid w:val="00755F6F"/>
    <w:rsid w:val="007566DE"/>
    <w:rsid w:val="00756F17"/>
    <w:rsid w:val="0076035C"/>
    <w:rsid w:val="00760B15"/>
    <w:rsid w:val="00760F61"/>
    <w:rsid w:val="0076179A"/>
    <w:rsid w:val="00764EC4"/>
    <w:rsid w:val="00766B74"/>
    <w:rsid w:val="00766DC8"/>
    <w:rsid w:val="007708B8"/>
    <w:rsid w:val="00771DF4"/>
    <w:rsid w:val="00772F4E"/>
    <w:rsid w:val="007735CE"/>
    <w:rsid w:val="00777EB9"/>
    <w:rsid w:val="00782FF2"/>
    <w:rsid w:val="00783D9B"/>
    <w:rsid w:val="0078774B"/>
    <w:rsid w:val="007913E6"/>
    <w:rsid w:val="00792497"/>
    <w:rsid w:val="007A4345"/>
    <w:rsid w:val="007A4D05"/>
    <w:rsid w:val="007B24FD"/>
    <w:rsid w:val="007B46DF"/>
    <w:rsid w:val="007C1E35"/>
    <w:rsid w:val="007C335A"/>
    <w:rsid w:val="007C42E6"/>
    <w:rsid w:val="007C79D2"/>
    <w:rsid w:val="007D400B"/>
    <w:rsid w:val="007D6A3E"/>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5137"/>
    <w:rsid w:val="00837EBF"/>
    <w:rsid w:val="00840B24"/>
    <w:rsid w:val="008517BF"/>
    <w:rsid w:val="008523FC"/>
    <w:rsid w:val="0085304E"/>
    <w:rsid w:val="008536A9"/>
    <w:rsid w:val="008545C1"/>
    <w:rsid w:val="00854BEE"/>
    <w:rsid w:val="00855486"/>
    <w:rsid w:val="00856DDE"/>
    <w:rsid w:val="00857F72"/>
    <w:rsid w:val="00860705"/>
    <w:rsid w:val="00861F76"/>
    <w:rsid w:val="00862DC5"/>
    <w:rsid w:val="00865B71"/>
    <w:rsid w:val="00870C94"/>
    <w:rsid w:val="00870CC9"/>
    <w:rsid w:val="008777B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24D1"/>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7D8"/>
    <w:rsid w:val="00923B94"/>
    <w:rsid w:val="00924525"/>
    <w:rsid w:val="00927E75"/>
    <w:rsid w:val="00930724"/>
    <w:rsid w:val="009310B2"/>
    <w:rsid w:val="00932ACB"/>
    <w:rsid w:val="00933172"/>
    <w:rsid w:val="00936CF9"/>
    <w:rsid w:val="00943348"/>
    <w:rsid w:val="00945975"/>
    <w:rsid w:val="00945C65"/>
    <w:rsid w:val="00950B5B"/>
    <w:rsid w:val="0095677C"/>
    <w:rsid w:val="00956D90"/>
    <w:rsid w:val="00962AC6"/>
    <w:rsid w:val="00962D50"/>
    <w:rsid w:val="009634CA"/>
    <w:rsid w:val="00964C14"/>
    <w:rsid w:val="00965C15"/>
    <w:rsid w:val="00966927"/>
    <w:rsid w:val="00970AA9"/>
    <w:rsid w:val="00970F7F"/>
    <w:rsid w:val="0097251E"/>
    <w:rsid w:val="00976FA7"/>
    <w:rsid w:val="009778D0"/>
    <w:rsid w:val="00977E34"/>
    <w:rsid w:val="0098005C"/>
    <w:rsid w:val="009805E8"/>
    <w:rsid w:val="009810CE"/>
    <w:rsid w:val="00981CD4"/>
    <w:rsid w:val="00982008"/>
    <w:rsid w:val="00982F10"/>
    <w:rsid w:val="0098432E"/>
    <w:rsid w:val="0099174C"/>
    <w:rsid w:val="00991F97"/>
    <w:rsid w:val="00993D5D"/>
    <w:rsid w:val="00995576"/>
    <w:rsid w:val="009A1DA9"/>
    <w:rsid w:val="009A755C"/>
    <w:rsid w:val="009A7903"/>
    <w:rsid w:val="009B0FBA"/>
    <w:rsid w:val="009B14AF"/>
    <w:rsid w:val="009B4D91"/>
    <w:rsid w:val="009B5041"/>
    <w:rsid w:val="009C0CAB"/>
    <w:rsid w:val="009C488D"/>
    <w:rsid w:val="009C4DAD"/>
    <w:rsid w:val="009C58E2"/>
    <w:rsid w:val="009C6617"/>
    <w:rsid w:val="009C6BE5"/>
    <w:rsid w:val="009C74D6"/>
    <w:rsid w:val="009C754C"/>
    <w:rsid w:val="009C7A55"/>
    <w:rsid w:val="009C7C0C"/>
    <w:rsid w:val="009D0330"/>
    <w:rsid w:val="009D5D22"/>
    <w:rsid w:val="009E375E"/>
    <w:rsid w:val="009E448A"/>
    <w:rsid w:val="009F06CA"/>
    <w:rsid w:val="009F20DB"/>
    <w:rsid w:val="009F2E8B"/>
    <w:rsid w:val="009F6962"/>
    <w:rsid w:val="00A02CED"/>
    <w:rsid w:val="00A033EE"/>
    <w:rsid w:val="00A03564"/>
    <w:rsid w:val="00A037C6"/>
    <w:rsid w:val="00A06FFA"/>
    <w:rsid w:val="00A13E4A"/>
    <w:rsid w:val="00A22B86"/>
    <w:rsid w:val="00A2489E"/>
    <w:rsid w:val="00A262DC"/>
    <w:rsid w:val="00A3000D"/>
    <w:rsid w:val="00A3123C"/>
    <w:rsid w:val="00A37E6D"/>
    <w:rsid w:val="00A402B9"/>
    <w:rsid w:val="00A44E74"/>
    <w:rsid w:val="00A47072"/>
    <w:rsid w:val="00A504EC"/>
    <w:rsid w:val="00A50609"/>
    <w:rsid w:val="00A5102C"/>
    <w:rsid w:val="00A5176B"/>
    <w:rsid w:val="00A51D85"/>
    <w:rsid w:val="00A52DA5"/>
    <w:rsid w:val="00A52FFA"/>
    <w:rsid w:val="00A534A6"/>
    <w:rsid w:val="00A5609D"/>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1921"/>
    <w:rsid w:val="00AC7E6F"/>
    <w:rsid w:val="00AD038B"/>
    <w:rsid w:val="00AD1FB5"/>
    <w:rsid w:val="00AD41FF"/>
    <w:rsid w:val="00AD6C58"/>
    <w:rsid w:val="00AD74EC"/>
    <w:rsid w:val="00AE0CB1"/>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0E4B"/>
    <w:rsid w:val="00B51D8B"/>
    <w:rsid w:val="00B54F4E"/>
    <w:rsid w:val="00B56EF0"/>
    <w:rsid w:val="00B61AE2"/>
    <w:rsid w:val="00B66573"/>
    <w:rsid w:val="00B6690A"/>
    <w:rsid w:val="00B66947"/>
    <w:rsid w:val="00B67314"/>
    <w:rsid w:val="00B8361F"/>
    <w:rsid w:val="00B8501E"/>
    <w:rsid w:val="00B911CF"/>
    <w:rsid w:val="00B945A9"/>
    <w:rsid w:val="00B94DAE"/>
    <w:rsid w:val="00B9589D"/>
    <w:rsid w:val="00BA04FB"/>
    <w:rsid w:val="00BA19ED"/>
    <w:rsid w:val="00BA1C03"/>
    <w:rsid w:val="00BA2BD7"/>
    <w:rsid w:val="00BB3607"/>
    <w:rsid w:val="00BB741C"/>
    <w:rsid w:val="00BC1F54"/>
    <w:rsid w:val="00BC356F"/>
    <w:rsid w:val="00BD0BC8"/>
    <w:rsid w:val="00BD2843"/>
    <w:rsid w:val="00BD2B26"/>
    <w:rsid w:val="00BD5EAF"/>
    <w:rsid w:val="00BE5C1A"/>
    <w:rsid w:val="00BE7ED0"/>
    <w:rsid w:val="00BF09CC"/>
    <w:rsid w:val="00BF2A75"/>
    <w:rsid w:val="00C05458"/>
    <w:rsid w:val="00C10188"/>
    <w:rsid w:val="00C17CED"/>
    <w:rsid w:val="00C20CC2"/>
    <w:rsid w:val="00C279D5"/>
    <w:rsid w:val="00C351B8"/>
    <w:rsid w:val="00C40959"/>
    <w:rsid w:val="00C437CE"/>
    <w:rsid w:val="00C43E68"/>
    <w:rsid w:val="00C45A4C"/>
    <w:rsid w:val="00C500C5"/>
    <w:rsid w:val="00C537A3"/>
    <w:rsid w:val="00C5688B"/>
    <w:rsid w:val="00C63D8C"/>
    <w:rsid w:val="00C645F4"/>
    <w:rsid w:val="00C70245"/>
    <w:rsid w:val="00C71265"/>
    <w:rsid w:val="00C7439C"/>
    <w:rsid w:val="00C834CE"/>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3D09"/>
    <w:rsid w:val="00CE5015"/>
    <w:rsid w:val="00CF06BD"/>
    <w:rsid w:val="00CF12AC"/>
    <w:rsid w:val="00CF2554"/>
    <w:rsid w:val="00CF4A4B"/>
    <w:rsid w:val="00CF4A78"/>
    <w:rsid w:val="00CF5234"/>
    <w:rsid w:val="00CF7932"/>
    <w:rsid w:val="00D01595"/>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87188"/>
    <w:rsid w:val="00D979C7"/>
    <w:rsid w:val="00DA27A8"/>
    <w:rsid w:val="00DA43EB"/>
    <w:rsid w:val="00DA4966"/>
    <w:rsid w:val="00DA70D9"/>
    <w:rsid w:val="00DA7234"/>
    <w:rsid w:val="00DB03EF"/>
    <w:rsid w:val="00DB6750"/>
    <w:rsid w:val="00DD1842"/>
    <w:rsid w:val="00DD18C5"/>
    <w:rsid w:val="00DD2023"/>
    <w:rsid w:val="00DD261B"/>
    <w:rsid w:val="00DD39BA"/>
    <w:rsid w:val="00DD42A4"/>
    <w:rsid w:val="00DD5276"/>
    <w:rsid w:val="00DE2880"/>
    <w:rsid w:val="00DE5AA0"/>
    <w:rsid w:val="00DE632D"/>
    <w:rsid w:val="00DE7025"/>
    <w:rsid w:val="00DE7510"/>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5C1C"/>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0FF2"/>
    <w:rsid w:val="00F2437A"/>
    <w:rsid w:val="00F26A7D"/>
    <w:rsid w:val="00F27950"/>
    <w:rsid w:val="00F55A20"/>
    <w:rsid w:val="00F61BC9"/>
    <w:rsid w:val="00F630C4"/>
    <w:rsid w:val="00F633C4"/>
    <w:rsid w:val="00F7288A"/>
    <w:rsid w:val="00F74E4F"/>
    <w:rsid w:val="00F772A6"/>
    <w:rsid w:val="00F84EC8"/>
    <w:rsid w:val="00F9549B"/>
    <w:rsid w:val="00FA02BD"/>
    <w:rsid w:val="00FA0865"/>
    <w:rsid w:val="00FA0A2F"/>
    <w:rsid w:val="00FA19AC"/>
    <w:rsid w:val="00FA3D93"/>
    <w:rsid w:val="00FA4FDE"/>
    <w:rsid w:val="00FB0CB6"/>
    <w:rsid w:val="00FB417E"/>
    <w:rsid w:val="00FC42F7"/>
    <w:rsid w:val="00FC50B8"/>
    <w:rsid w:val="00FC598F"/>
    <w:rsid w:val="00FC7446"/>
    <w:rsid w:val="00FD0F26"/>
    <w:rsid w:val="00FD2691"/>
    <w:rsid w:val="00FD2A14"/>
    <w:rsid w:val="00FD311A"/>
    <w:rsid w:val="00FD3927"/>
    <w:rsid w:val="00FD436E"/>
    <w:rsid w:val="00FD48FB"/>
    <w:rsid w:val="00FE1859"/>
    <w:rsid w:val="00FE4D7E"/>
    <w:rsid w:val="00FF1372"/>
    <w:rsid w:val="00FF155E"/>
    <w:rsid w:val="00FF2EA3"/>
    <w:rsid w:val="00FF39DA"/>
    <w:rsid w:val="00FF468F"/>
    <w:rsid w:val="00FF4BD1"/>
    <w:rsid w:val="00FF51FB"/>
    <w:rsid w:val="00FF52E8"/>
    <w:rsid w:val="00FF5F14"/>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it-IT"/>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 w:type="paragraph" w:customStyle="1" w:styleId="Default">
    <w:name w:val="Default"/>
    <w:rsid w:val="00200E66"/>
    <w:pPr>
      <w:autoSpaceDE w:val="0"/>
      <w:autoSpaceDN w:val="0"/>
      <w:adjustRightInd w:val="0"/>
    </w:pPr>
    <w:rPr>
      <w:rFonts w:ascii="Titillium Web" w:hAnsi="Titillium Web" w:cs="Titillium We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9010187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28706373">
      <w:bodyDiv w:val="1"/>
      <w:marLeft w:val="0"/>
      <w:marRight w:val="0"/>
      <w:marTop w:val="0"/>
      <w:marBottom w:val="0"/>
      <w:divBdr>
        <w:top w:val="none" w:sz="0" w:space="0" w:color="auto"/>
        <w:left w:val="none" w:sz="0" w:space="0" w:color="auto"/>
        <w:bottom w:val="none" w:sz="0" w:space="0" w:color="auto"/>
        <w:right w:val="none" w:sz="0" w:space="0" w:color="auto"/>
      </w:divBdr>
      <w:divsChild>
        <w:div w:id="446631044">
          <w:marLeft w:val="0"/>
          <w:marRight w:val="0"/>
          <w:marTop w:val="0"/>
          <w:marBottom w:val="0"/>
          <w:divBdr>
            <w:top w:val="none" w:sz="0" w:space="0" w:color="auto"/>
            <w:left w:val="none" w:sz="0" w:space="0" w:color="auto"/>
            <w:bottom w:val="none" w:sz="0" w:space="0" w:color="auto"/>
            <w:right w:val="none" w:sz="0" w:space="0" w:color="auto"/>
          </w:divBdr>
        </w:div>
        <w:div w:id="1648584569">
          <w:marLeft w:val="0"/>
          <w:marRight w:val="0"/>
          <w:marTop w:val="0"/>
          <w:marBottom w:val="0"/>
          <w:divBdr>
            <w:top w:val="none" w:sz="0" w:space="0" w:color="auto"/>
            <w:left w:val="none" w:sz="0" w:space="0" w:color="auto"/>
            <w:bottom w:val="none" w:sz="0" w:space="0" w:color="auto"/>
            <w:right w:val="none" w:sz="0" w:space="0" w:color="auto"/>
          </w:divBdr>
          <w:divsChild>
            <w:div w:id="1081953998">
              <w:marLeft w:val="0"/>
              <w:marRight w:val="165"/>
              <w:marTop w:val="150"/>
              <w:marBottom w:val="0"/>
              <w:divBdr>
                <w:top w:val="none" w:sz="0" w:space="0" w:color="auto"/>
                <w:left w:val="none" w:sz="0" w:space="0" w:color="auto"/>
                <w:bottom w:val="none" w:sz="0" w:space="0" w:color="auto"/>
                <w:right w:val="none" w:sz="0" w:space="0" w:color="auto"/>
              </w:divBdr>
              <w:divsChild>
                <w:div w:id="36205584">
                  <w:marLeft w:val="0"/>
                  <w:marRight w:val="0"/>
                  <w:marTop w:val="0"/>
                  <w:marBottom w:val="0"/>
                  <w:divBdr>
                    <w:top w:val="none" w:sz="0" w:space="0" w:color="auto"/>
                    <w:left w:val="none" w:sz="0" w:space="0" w:color="auto"/>
                    <w:bottom w:val="none" w:sz="0" w:space="0" w:color="auto"/>
                    <w:right w:val="none" w:sz="0" w:space="0" w:color="auto"/>
                  </w:divBdr>
                  <w:divsChild>
                    <w:div w:id="8949711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91852505">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55020198">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anp126-spannungsspezifikation-fuer-verpresste-induktivitaeten"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htcm.de/press-releases/wuert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en/components/products/WE-LHMI?aja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e-online.com/en/components/products/WE-XHMI" TargetMode="External"/><Relationship Id="rId4" Type="http://schemas.openxmlformats.org/officeDocument/2006/relationships/settings" Target="settings.xml"/><Relationship Id="rId9" Type="http://schemas.openxmlformats.org/officeDocument/2006/relationships/hyperlink" Target="https://www.we-online.com/en/components/products/WE-MAPI"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5548</Characters>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6328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2024-07-15T14:09:00Z</dcterms:created>
  <dcterms:modified xsi:type="dcterms:W3CDTF">2024-07-16T07:20:00Z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