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9D689" w14:textId="77777777" w:rsidR="007C3FE9" w:rsidRDefault="007C3FE9" w:rsidP="007C3FE9">
      <w:pPr>
        <w:pStyle w:val="berschrift1"/>
        <w:spacing w:before="720" w:after="720" w:line="260" w:lineRule="exact"/>
        <w:rPr>
          <w:sz w:val="20"/>
        </w:rPr>
      </w:pPr>
      <w:r>
        <w:rPr>
          <w:sz w:val="20"/>
        </w:rPr>
        <w:t>COMMUNIQUÉ DE PRESSE</w:t>
      </w:r>
    </w:p>
    <w:p w14:paraId="2E18C34E" w14:textId="0C096C7D" w:rsidR="007A4D05" w:rsidRDefault="00B50E4B"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w:t>
      </w:r>
      <w:proofErr w:type="spellStart"/>
      <w:r>
        <w:rPr>
          <w:rFonts w:ascii="Arial" w:hAnsi="Arial"/>
          <w:b/>
        </w:rPr>
        <w:t>Elektronik</w:t>
      </w:r>
      <w:proofErr w:type="spellEnd"/>
      <w:r>
        <w:rPr>
          <w:rFonts w:ascii="Arial" w:hAnsi="Arial"/>
          <w:b/>
        </w:rPr>
        <w:t xml:space="preserve"> définit une propriété électrique pour les inducteurs moulés</w:t>
      </w:r>
    </w:p>
    <w:p w14:paraId="4148C797" w14:textId="25FD100C" w:rsidR="00485E6F" w:rsidRPr="00B94DAE" w:rsidRDefault="009237D8"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Nouvelle procédure d’essai pour la détermination de la rigidité diélectrique</w:t>
      </w:r>
    </w:p>
    <w:p w14:paraId="6A2D0081" w14:textId="5600FD27" w:rsidR="00376E2D" w:rsidRDefault="00485E6F" w:rsidP="00C20CC2">
      <w:pPr>
        <w:pStyle w:val="Textkrper"/>
        <w:spacing w:before="120" w:after="120" w:line="260" w:lineRule="exact"/>
        <w:jc w:val="both"/>
        <w:rPr>
          <w:rFonts w:ascii="Arial" w:hAnsi="Arial"/>
        </w:rPr>
      </w:pPr>
      <w:r>
        <w:rPr>
          <w:rFonts w:ascii="Arial" w:hAnsi="Arial"/>
          <w:color w:val="000000"/>
        </w:rPr>
        <w:t>Waldenburg</w:t>
      </w:r>
      <w:r w:rsidR="00903318">
        <w:rPr>
          <w:rFonts w:ascii="Arial" w:hAnsi="Arial"/>
          <w:color w:val="000000"/>
        </w:rPr>
        <w:t xml:space="preserve"> (Allemagne)</w:t>
      </w:r>
      <w:r>
        <w:rPr>
          <w:rFonts w:ascii="Arial" w:hAnsi="Arial"/>
          <w:color w:val="000000"/>
        </w:rPr>
        <w:t xml:space="preserve">, </w:t>
      </w:r>
      <w:r w:rsidR="00025AEE">
        <w:rPr>
          <w:rFonts w:ascii="Arial" w:hAnsi="Arial"/>
          <w:color w:val="000000"/>
        </w:rPr>
        <w:t xml:space="preserve">le </w:t>
      </w:r>
      <w:r w:rsidR="00903318">
        <w:rPr>
          <w:rFonts w:ascii="Arial" w:hAnsi="Arial"/>
          <w:color w:val="000000"/>
        </w:rPr>
        <w:t xml:space="preserve">17 juillet </w:t>
      </w:r>
      <w:r>
        <w:rPr>
          <w:rFonts w:ascii="Arial" w:hAnsi="Arial"/>
          <w:color w:val="000000"/>
        </w:rPr>
        <w:t xml:space="preserve">2024 – Würth </w:t>
      </w:r>
      <w:proofErr w:type="spellStart"/>
      <w:r>
        <w:rPr>
          <w:rFonts w:ascii="Arial" w:hAnsi="Arial"/>
          <w:color w:val="000000"/>
        </w:rPr>
        <w:t>Elektronik</w:t>
      </w:r>
      <w:proofErr w:type="spellEnd"/>
      <w:r>
        <w:rPr>
          <w:rFonts w:ascii="Arial" w:hAnsi="Arial"/>
          <w:color w:val="000000"/>
        </w:rPr>
        <w:t xml:space="preserve"> a développé une nouvelle procédure de test pour déterminer la tension de fonctionnement maximale des </w:t>
      </w:r>
      <w:r w:rsidR="005B6538">
        <w:rPr>
          <w:rFonts w:ascii="Arial" w:hAnsi="Arial"/>
          <w:color w:val="000000"/>
        </w:rPr>
        <w:t xml:space="preserve">inductances </w:t>
      </w:r>
      <w:r>
        <w:rPr>
          <w:rFonts w:ascii="Arial" w:hAnsi="Arial"/>
          <w:color w:val="000000"/>
        </w:rPr>
        <w:t>moulé</w:t>
      </w:r>
      <w:r w:rsidR="005B6538">
        <w:rPr>
          <w:rFonts w:ascii="Arial" w:hAnsi="Arial"/>
          <w:color w:val="000000"/>
        </w:rPr>
        <w:t>e</w:t>
      </w:r>
      <w:r>
        <w:rPr>
          <w:rFonts w:ascii="Arial" w:hAnsi="Arial"/>
          <w:color w:val="000000"/>
        </w:rPr>
        <w:t xml:space="preserve">s. Le fabricant de composants électroniques et électromécaniques présente aux développeurs la propriété électrique de la rigidité diélectrique et ce qui se passe si elle est dépassée dans une application qui est décrite dans la note d’application 126 </w:t>
      </w:r>
      <w:r>
        <w:rPr>
          <w:rFonts w:ascii="Arial" w:hAnsi="Arial"/>
        </w:rPr>
        <w:t>(</w:t>
      </w:r>
      <w:hyperlink r:id="rId8" w:history="1">
        <w:r>
          <w:rPr>
            <w:rStyle w:val="Hyperlink"/>
            <w:rFonts w:ascii="Arial" w:hAnsi="Arial"/>
          </w:rPr>
          <w:t>www.we-online.com/ANP126</w:t>
        </w:r>
      </w:hyperlink>
      <w:r>
        <w:rPr>
          <w:rFonts w:ascii="Arial" w:hAnsi="Arial"/>
          <w:color w:val="000000"/>
        </w:rPr>
        <w:t>)</w:t>
      </w:r>
      <w:r>
        <w:rPr>
          <w:rFonts w:ascii="Arial" w:hAnsi="Arial"/>
        </w:rPr>
        <w:t xml:space="preserve">. Les inducteurs moulés de la gamme de produits Power </w:t>
      </w:r>
      <w:proofErr w:type="spellStart"/>
      <w:r>
        <w:rPr>
          <w:rFonts w:ascii="Arial" w:hAnsi="Arial"/>
        </w:rPr>
        <w:t>Magnetics</w:t>
      </w:r>
      <w:proofErr w:type="spellEnd"/>
      <w:r>
        <w:rPr>
          <w:rFonts w:ascii="Arial" w:hAnsi="Arial"/>
        </w:rPr>
        <w:t xml:space="preserve"> (par ex., </w:t>
      </w:r>
      <w:hyperlink r:id="rId9" w:history="1">
        <w:r>
          <w:rPr>
            <w:rStyle w:val="Hyperlink"/>
            <w:rFonts w:ascii="Arial" w:hAnsi="Arial"/>
          </w:rPr>
          <w:t>WE-MAPI</w:t>
        </w:r>
      </w:hyperlink>
      <w:r>
        <w:rPr>
          <w:rFonts w:ascii="Arial" w:hAnsi="Arial"/>
        </w:rPr>
        <w:t xml:space="preserve">, </w:t>
      </w:r>
      <w:hyperlink r:id="rId10" w:history="1">
        <w:r>
          <w:rPr>
            <w:rStyle w:val="Hyperlink"/>
            <w:rFonts w:ascii="Arial" w:hAnsi="Arial"/>
          </w:rPr>
          <w:t>WE-XHMI</w:t>
        </w:r>
      </w:hyperlink>
      <w:r>
        <w:rPr>
          <w:rFonts w:ascii="Arial" w:hAnsi="Arial"/>
        </w:rPr>
        <w:t xml:space="preserve">, </w:t>
      </w:r>
      <w:hyperlink r:id="rId11" w:history="1">
        <w:r>
          <w:rPr>
            <w:rStyle w:val="Hyperlink"/>
            <w:rFonts w:ascii="Arial" w:hAnsi="Arial"/>
          </w:rPr>
          <w:t>WE-LHMI</w:t>
        </w:r>
      </w:hyperlink>
      <w:r>
        <w:rPr>
          <w:rFonts w:ascii="Arial" w:hAnsi="Arial"/>
        </w:rPr>
        <w:t>) indiquent désormais un nouveau paramètre dans les spécifications, à savoir la valeur de la tension maximale de fonctionnement V</w:t>
      </w:r>
      <w:r>
        <w:rPr>
          <w:rFonts w:ascii="Arial" w:hAnsi="Arial"/>
          <w:vertAlign w:val="subscript"/>
        </w:rPr>
        <w:t>op</w:t>
      </w:r>
      <w:r>
        <w:rPr>
          <w:rFonts w:ascii="Arial" w:hAnsi="Arial"/>
        </w:rPr>
        <w:t>.</w:t>
      </w:r>
    </w:p>
    <w:p w14:paraId="5C36A3BC" w14:textId="743D12BA" w:rsidR="00772F4E" w:rsidRDefault="00C20CC2" w:rsidP="00766DC8">
      <w:pPr>
        <w:pStyle w:val="Textkrper"/>
        <w:spacing w:before="120" w:after="120" w:line="260" w:lineRule="exact"/>
        <w:jc w:val="both"/>
        <w:rPr>
          <w:rFonts w:ascii="Arial" w:hAnsi="Arial"/>
          <w:b w:val="0"/>
          <w:bCs w:val="0"/>
        </w:rPr>
      </w:pPr>
      <w:r>
        <w:rPr>
          <w:rFonts w:ascii="Arial" w:hAnsi="Arial"/>
          <w:b w:val="0"/>
        </w:rPr>
        <w:t xml:space="preserve">Sur la base de la nouvelle procédure de test, Würth </w:t>
      </w:r>
      <w:proofErr w:type="spellStart"/>
      <w:r>
        <w:rPr>
          <w:rFonts w:ascii="Arial" w:hAnsi="Arial"/>
          <w:b w:val="0"/>
        </w:rPr>
        <w:t>Elektronik</w:t>
      </w:r>
      <w:proofErr w:type="spellEnd"/>
      <w:r>
        <w:rPr>
          <w:rFonts w:ascii="Arial" w:hAnsi="Arial"/>
          <w:b w:val="0"/>
        </w:rPr>
        <w:t xml:space="preserve"> définit la tension maximale de fonctionnement V</w:t>
      </w:r>
      <w:r>
        <w:rPr>
          <w:rFonts w:ascii="Arial" w:hAnsi="Arial"/>
          <w:b w:val="0"/>
          <w:vertAlign w:val="subscript"/>
        </w:rPr>
        <w:t>op</w:t>
      </w:r>
      <w:r>
        <w:rPr>
          <w:rFonts w:ascii="Arial" w:hAnsi="Arial"/>
          <w:b w:val="0"/>
        </w:rPr>
        <w:t xml:space="preserve"> dans ses fiches techniques. Il s’agit de la tension à laquelle u</w:t>
      </w:r>
      <w:r w:rsidR="005B6538">
        <w:rPr>
          <w:rFonts w:ascii="Arial" w:hAnsi="Arial"/>
          <w:b w:val="0"/>
        </w:rPr>
        <w:t xml:space="preserve">ne </w:t>
      </w:r>
      <w:proofErr w:type="spellStart"/>
      <w:r w:rsidR="005B6538">
        <w:rPr>
          <w:rFonts w:ascii="Arial" w:hAnsi="Arial"/>
          <w:b w:val="0"/>
        </w:rPr>
        <w:t>inductance</w:t>
      </w:r>
      <w:r>
        <w:rPr>
          <w:rFonts w:ascii="Arial" w:hAnsi="Arial"/>
          <w:b w:val="0"/>
        </w:rPr>
        <w:t>peut</w:t>
      </w:r>
      <w:proofErr w:type="spellEnd"/>
      <w:r>
        <w:rPr>
          <w:rFonts w:ascii="Arial" w:hAnsi="Arial"/>
          <w:b w:val="0"/>
        </w:rPr>
        <w:t xml:space="preserve"> être utilisé</w:t>
      </w:r>
      <w:r w:rsidR="005B6538">
        <w:rPr>
          <w:rFonts w:ascii="Arial" w:hAnsi="Arial"/>
          <w:b w:val="0"/>
        </w:rPr>
        <w:t>e</w:t>
      </w:r>
      <w:r>
        <w:rPr>
          <w:rFonts w:ascii="Arial" w:hAnsi="Arial"/>
          <w:b w:val="0"/>
        </w:rPr>
        <w:t xml:space="preserve"> en continu dans l’application sans nuire à ses performances, sans risquer de l’endommager ou de le faire surchauffer. La tension de fonctionnement est donc une valeur limite pour la tension d’entrée, jusqu’à laquelle </w:t>
      </w:r>
      <w:r w:rsidR="005B6538">
        <w:rPr>
          <w:rFonts w:ascii="Arial" w:hAnsi="Arial"/>
          <w:b w:val="0"/>
        </w:rPr>
        <w:t xml:space="preserve">l’inductance </w:t>
      </w:r>
      <w:r>
        <w:rPr>
          <w:rFonts w:ascii="Arial" w:hAnsi="Arial"/>
          <w:b w:val="0"/>
        </w:rPr>
        <w:t>peut être utilisé</w:t>
      </w:r>
      <w:r w:rsidR="005B6538">
        <w:rPr>
          <w:rFonts w:ascii="Arial" w:hAnsi="Arial"/>
          <w:b w:val="0"/>
        </w:rPr>
        <w:t>e</w:t>
      </w:r>
      <w:r>
        <w:rPr>
          <w:rFonts w:ascii="Arial" w:hAnsi="Arial"/>
          <w:b w:val="0"/>
        </w:rPr>
        <w:t xml:space="preserve"> de manière fiable dans une application sans dommages irréversibles. </w:t>
      </w:r>
    </w:p>
    <w:p w14:paraId="1B045B3B" w14:textId="6604692C" w:rsidR="00A033EE" w:rsidRDefault="00A033EE" w:rsidP="00766DC8">
      <w:pPr>
        <w:pStyle w:val="Textkrper"/>
        <w:spacing w:before="120" w:after="120" w:line="260" w:lineRule="exact"/>
        <w:jc w:val="both"/>
        <w:rPr>
          <w:rFonts w:ascii="Arial" w:hAnsi="Arial"/>
          <w:b w:val="0"/>
          <w:bCs w:val="0"/>
        </w:rPr>
      </w:pPr>
      <w:r>
        <w:rPr>
          <w:rFonts w:ascii="Arial" w:hAnsi="Arial"/>
          <w:b w:val="0"/>
        </w:rPr>
        <w:t xml:space="preserve">Le concept de test examine le comportement des </w:t>
      </w:r>
      <w:r w:rsidR="005B6538">
        <w:rPr>
          <w:rFonts w:ascii="Arial" w:hAnsi="Arial"/>
          <w:b w:val="0"/>
        </w:rPr>
        <w:t xml:space="preserve">inductances </w:t>
      </w:r>
      <w:r>
        <w:rPr>
          <w:rFonts w:ascii="Arial" w:hAnsi="Arial"/>
          <w:b w:val="0"/>
        </w:rPr>
        <w:t xml:space="preserve">jusqu’à leur limite de tension dans des conditions réalistes dans un convertisseur DC-DC en pont complet (transitoires de tension allant jusqu’à 60 V/ns et fréquences allant jusqu’à 2 MHz). La limite de tension approximative est d’abord évaluée à l’aide d’un test à court terme. La tension de fonctionnement est ensuite définie sur cette base et vérifiée lors d’un test à long terme.   </w:t>
      </w:r>
    </w:p>
    <w:p w14:paraId="30922FF5" w14:textId="76315C22" w:rsidR="00766DC8" w:rsidRPr="00756F17" w:rsidRDefault="00766DC8" w:rsidP="00766DC8">
      <w:pPr>
        <w:pStyle w:val="Textkrper"/>
        <w:spacing w:before="120" w:after="120" w:line="260" w:lineRule="exact"/>
        <w:jc w:val="both"/>
        <w:rPr>
          <w:rFonts w:ascii="Arial" w:hAnsi="Arial"/>
        </w:rPr>
      </w:pPr>
      <w:r>
        <w:rPr>
          <w:rFonts w:ascii="Arial" w:hAnsi="Arial"/>
        </w:rPr>
        <w:t>Contexte</w:t>
      </w:r>
    </w:p>
    <w:p w14:paraId="7BD4EFA1" w14:textId="5243A3B6" w:rsidR="00711FC3" w:rsidRDefault="00711FC3" w:rsidP="00711FC3">
      <w:pPr>
        <w:pStyle w:val="Textkrper"/>
        <w:spacing w:before="120" w:after="120" w:line="260" w:lineRule="exact"/>
        <w:jc w:val="both"/>
        <w:rPr>
          <w:rFonts w:ascii="Arial" w:hAnsi="Arial"/>
          <w:b w:val="0"/>
          <w:bCs w:val="0"/>
        </w:rPr>
      </w:pPr>
      <w:r>
        <w:rPr>
          <w:rFonts w:ascii="Arial" w:hAnsi="Arial"/>
          <w:b w:val="0"/>
        </w:rPr>
        <w:t xml:space="preserve">Grâce aux progrès technologiques constants de l’industrie des semi-conducteurs, les MOSFET d’aujourd’hui peuvent atteindre des densités de courant élevées et des temps de commutation courts. C’est pourquoi la question de la rigidité diélectrique des bobines est devenue de plus en plus importante ces dernières années lorsqu’il s’agit de choisir </w:t>
      </w:r>
      <w:r w:rsidR="005B6538">
        <w:rPr>
          <w:rFonts w:ascii="Arial" w:hAnsi="Arial"/>
          <w:b w:val="0"/>
        </w:rPr>
        <w:t xml:space="preserve">l’inductance </w:t>
      </w:r>
      <w:r>
        <w:rPr>
          <w:rFonts w:ascii="Arial" w:hAnsi="Arial"/>
          <w:b w:val="0"/>
        </w:rPr>
        <w:t>approprié</w:t>
      </w:r>
      <w:r w:rsidR="005B6538">
        <w:rPr>
          <w:rFonts w:ascii="Arial" w:hAnsi="Arial"/>
          <w:b w:val="0"/>
        </w:rPr>
        <w:t>e</w:t>
      </w:r>
      <w:r>
        <w:rPr>
          <w:rFonts w:ascii="Arial" w:hAnsi="Arial"/>
          <w:b w:val="0"/>
        </w:rPr>
        <w:t>.</w:t>
      </w:r>
    </w:p>
    <w:p w14:paraId="3A0C5ECA" w14:textId="10FBE4BD" w:rsidR="00711FC3" w:rsidRDefault="00711FC3" w:rsidP="00711FC3">
      <w:pPr>
        <w:pStyle w:val="Textkrper"/>
        <w:spacing w:before="120" w:after="120" w:line="260" w:lineRule="exact"/>
        <w:jc w:val="both"/>
        <w:rPr>
          <w:rFonts w:ascii="Arial" w:hAnsi="Arial"/>
          <w:b w:val="0"/>
          <w:bCs w:val="0"/>
        </w:rPr>
      </w:pPr>
      <w:r>
        <w:rPr>
          <w:rFonts w:ascii="Arial" w:hAnsi="Arial"/>
          <w:b w:val="0"/>
        </w:rPr>
        <w:t xml:space="preserve">En outre : L’optimisation continue du processus de production et de la composition des matériaux des </w:t>
      </w:r>
      <w:r w:rsidR="005B6538">
        <w:rPr>
          <w:rFonts w:ascii="Arial" w:hAnsi="Arial"/>
          <w:b w:val="0"/>
        </w:rPr>
        <w:t xml:space="preserve">inductances </w:t>
      </w:r>
      <w:r>
        <w:rPr>
          <w:rFonts w:ascii="Arial" w:hAnsi="Arial"/>
          <w:b w:val="0"/>
        </w:rPr>
        <w:t>moulé</w:t>
      </w:r>
      <w:r w:rsidR="005B6538">
        <w:rPr>
          <w:rFonts w:ascii="Arial" w:hAnsi="Arial"/>
          <w:b w:val="0"/>
        </w:rPr>
        <w:t>e</w:t>
      </w:r>
      <w:r>
        <w:rPr>
          <w:rFonts w:ascii="Arial" w:hAnsi="Arial"/>
          <w:b w:val="0"/>
        </w:rPr>
        <w:t xml:space="preserve">s permet une perméabilité élevée du matériau </w:t>
      </w:r>
      <w:r w:rsidR="005B6538">
        <w:rPr>
          <w:rFonts w:ascii="Arial" w:hAnsi="Arial"/>
          <w:b w:val="0"/>
        </w:rPr>
        <w:t xml:space="preserve">ferromagnétique </w:t>
      </w:r>
      <w:r>
        <w:rPr>
          <w:rFonts w:ascii="Arial" w:hAnsi="Arial"/>
          <w:b w:val="0"/>
        </w:rPr>
        <w:t>afin d’obtenir les valeurs d’inductance les plus élevées possibles dans l’espace de conditionnement le plus réduit possible. La densité de puissance par volume peut donc être augmentée en permanence.</w:t>
      </w:r>
    </w:p>
    <w:p w14:paraId="478CA92C" w14:textId="77777777" w:rsidR="00C05458" w:rsidRDefault="00711FC3" w:rsidP="00C05458">
      <w:pPr>
        <w:pStyle w:val="Textkrper"/>
        <w:spacing w:before="120" w:after="120" w:line="260" w:lineRule="exact"/>
        <w:jc w:val="both"/>
      </w:pPr>
      <w:r>
        <w:rPr>
          <w:rFonts w:ascii="Arial" w:hAnsi="Arial"/>
          <w:b w:val="0"/>
        </w:rPr>
        <w:lastRenderedPageBreak/>
        <w:t>Pour ce faire, la proportion de poudre de fer ou d’alliages de fer par rapport à l’isolation du liant doit augmenter régulièrement, ce qui entraîne une réduction progressive de la distance entre les grains individuels.</w:t>
      </w:r>
      <w:r>
        <w:t xml:space="preserve"> </w:t>
      </w:r>
      <w:r>
        <w:rPr>
          <w:rFonts w:ascii="Arial" w:hAnsi="Arial"/>
          <w:b w:val="0"/>
        </w:rPr>
        <w:t>Si la barrière d’isolation entre les particules métalliques individuelles n’est pas suffisamment élevée pour la tension appliquée dans l’application, un chemin conducteur est créé à travers le matériau de base, provoquant un arc électrique entre les particules métalliques individuelles. On peut observer dans l’application que le profil du courant d’ondulation change. Schématiquement, il y a maintenant une résistance parallèle à l’inducteur.</w:t>
      </w:r>
      <w:r>
        <w:t xml:space="preserve"> </w:t>
      </w:r>
    </w:p>
    <w:p w14:paraId="666D4046" w14:textId="080C4AC2" w:rsidR="00C05458" w:rsidRPr="007B46DF" w:rsidRDefault="00C05458" w:rsidP="00C05458">
      <w:pPr>
        <w:pStyle w:val="Textkrper"/>
        <w:spacing w:before="120" w:after="120" w:line="260" w:lineRule="exact"/>
        <w:jc w:val="both"/>
        <w:rPr>
          <w:rFonts w:ascii="Arial" w:hAnsi="Arial"/>
          <w:b w:val="0"/>
          <w:bCs w:val="0"/>
        </w:rPr>
      </w:pPr>
      <w:r>
        <w:rPr>
          <w:rFonts w:ascii="Arial" w:hAnsi="Arial"/>
          <w:b w:val="0"/>
        </w:rPr>
        <w:t>Les conséquences : L’auto-échauffement de la bobine augmente considérablement en raison des pertes croissantes. Ces pertes supplémentaires réduisent considérablement le rendement de l’inducteur. L’avantage d’un convertisseur DC/DC, à savoir la transmission des niveaux de tension avec un rendement élevé, est ainsi perdu.</w:t>
      </w:r>
    </w:p>
    <w:p w14:paraId="784E7E64" w14:textId="77777777" w:rsidR="00485E6F" w:rsidRDefault="00485E6F" w:rsidP="00485E6F">
      <w:pPr>
        <w:pStyle w:val="Textkrper"/>
        <w:spacing w:before="120" w:after="120" w:line="260" w:lineRule="exact"/>
        <w:jc w:val="both"/>
        <w:rPr>
          <w:rFonts w:ascii="Arial" w:hAnsi="Arial"/>
          <w:b w:val="0"/>
          <w:bCs w:val="0"/>
        </w:rPr>
      </w:pPr>
    </w:p>
    <w:p w14:paraId="3D705BD8" w14:textId="77777777" w:rsidR="00025AEE" w:rsidRPr="00B94DAE" w:rsidRDefault="00025AEE" w:rsidP="00485E6F">
      <w:pPr>
        <w:pStyle w:val="Textkrper"/>
        <w:spacing w:before="120" w:after="120" w:line="260" w:lineRule="exact"/>
        <w:jc w:val="both"/>
        <w:rPr>
          <w:rFonts w:ascii="Arial" w:hAnsi="Arial"/>
          <w:b w:val="0"/>
          <w:bCs w:val="0"/>
        </w:rPr>
      </w:pPr>
    </w:p>
    <w:p w14:paraId="7653B424" w14:textId="77777777" w:rsidR="00485E6F" w:rsidRPr="00172A9E" w:rsidRDefault="00485E6F" w:rsidP="00485E6F">
      <w:pPr>
        <w:pStyle w:val="PITextkrper"/>
        <w:pBdr>
          <w:top w:val="single" w:sz="4" w:space="1" w:color="auto"/>
        </w:pBdr>
        <w:spacing w:before="240"/>
        <w:rPr>
          <w:b/>
          <w:sz w:val="18"/>
          <w:szCs w:val="18"/>
        </w:rPr>
      </w:pPr>
    </w:p>
    <w:p w14:paraId="50884D91" w14:textId="77777777" w:rsidR="00903318" w:rsidRPr="0023476F" w:rsidRDefault="00903318" w:rsidP="00903318">
      <w:pPr>
        <w:spacing w:after="120" w:line="280" w:lineRule="exact"/>
        <w:rPr>
          <w:rFonts w:ascii="Arial" w:hAnsi="Arial" w:cs="Arial"/>
          <w:b/>
          <w:bCs/>
          <w:sz w:val="18"/>
          <w:szCs w:val="18"/>
        </w:rPr>
      </w:pPr>
      <w:r w:rsidRPr="0023476F">
        <w:rPr>
          <w:rFonts w:ascii="Arial" w:hAnsi="Arial"/>
          <w:b/>
          <w:sz w:val="18"/>
        </w:rPr>
        <w:t>Images disponibles</w:t>
      </w:r>
    </w:p>
    <w:p w14:paraId="1814983B" w14:textId="77777777" w:rsidR="00903318" w:rsidRPr="0023476F" w:rsidRDefault="00903318" w:rsidP="00903318">
      <w:pPr>
        <w:spacing w:after="120" w:line="280" w:lineRule="exact"/>
        <w:rPr>
          <w:rStyle w:val="Hyperlink"/>
          <w:rFonts w:ascii="Arial" w:hAnsi="Arial"/>
          <w:sz w:val="18"/>
        </w:rPr>
      </w:pPr>
      <w:r w:rsidRPr="0023476F">
        <w:rPr>
          <w:rFonts w:ascii="Arial" w:hAnsi="Arial"/>
          <w:sz w:val="18"/>
        </w:rPr>
        <w:t>Les images suivantes peuvent être téléchargées sur Internet pour impression :</w:t>
      </w:r>
      <w:r w:rsidRPr="0023476F">
        <w:t xml:space="preserve"> </w:t>
      </w:r>
      <w:hyperlink r:id="rId12" w:history="1">
        <w:r w:rsidRPr="0023476F">
          <w:rPr>
            <w:rStyle w:val="Hyperlink"/>
            <w:rFonts w:ascii="Arial" w:hAnsi="Arial" w:cs="Arial"/>
            <w:sz w:val="18"/>
            <w:szCs w:val="18"/>
          </w:rPr>
          <w:t>https://kk.htcm.de/press-releases/wuerth/</w:t>
        </w:r>
      </w:hyperlink>
    </w:p>
    <w:tbl>
      <w:tblPr>
        <w:tblW w:w="797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10"/>
        <w:gridCol w:w="4961"/>
      </w:tblGrid>
      <w:tr w:rsidR="00DE2880" w:rsidRPr="00B94DAE" w14:paraId="415A195B" w14:textId="4E35DD6D" w:rsidTr="00DE2880">
        <w:trPr>
          <w:trHeight w:val="1701"/>
        </w:trPr>
        <w:tc>
          <w:tcPr>
            <w:tcW w:w="3010" w:type="dxa"/>
          </w:tcPr>
          <w:p w14:paraId="5A320371" w14:textId="1DAFB2DA" w:rsidR="00DE2880" w:rsidRPr="00B94DAE" w:rsidRDefault="00DE2880" w:rsidP="00CE17D6">
            <w:pPr>
              <w:pStyle w:val="txt"/>
              <w:rPr>
                <w:b/>
                <w:bCs/>
                <w:sz w:val="18"/>
              </w:rPr>
            </w:pPr>
            <w:r>
              <w:rPr>
                <w:b/>
              </w:rPr>
              <w:br/>
            </w:r>
            <w:r>
              <w:rPr>
                <w:noProof/>
              </w:rPr>
              <w:drawing>
                <wp:inline distT="0" distB="0" distL="0" distR="0" wp14:anchorId="76983856" wp14:editId="4CF3D514">
                  <wp:extent cx="1803886" cy="1440000"/>
                  <wp:effectExtent l="0" t="0" r="6350" b="8255"/>
                  <wp:docPr id="132415738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7801" r="11573"/>
                          <a:stretch/>
                        </pic:blipFill>
                        <pic:spPr bwMode="auto">
                          <a:xfrm>
                            <a:off x="0" y="0"/>
                            <a:ext cx="1803886" cy="1440000"/>
                          </a:xfrm>
                          <a:prstGeom prst="rect">
                            <a:avLst/>
                          </a:prstGeom>
                          <a:noFill/>
                          <a:ln>
                            <a:noFill/>
                          </a:ln>
                          <a:extLst>
                            <a:ext uri="{53640926-AAD7-44D8-BBD7-CCE9431645EC}">
                              <a14:shadowObscured xmlns:a14="http://schemas.microsoft.com/office/drawing/2010/main"/>
                            </a:ext>
                          </a:extLst>
                        </pic:spPr>
                      </pic:pic>
                    </a:graphicData>
                  </a:graphic>
                </wp:inline>
              </w:drawing>
            </w:r>
            <w:r>
              <w:rPr>
                <w:b/>
                <w:sz w:val="18"/>
              </w:rPr>
              <w:br/>
            </w:r>
            <w:r>
              <w:rPr>
                <w:sz w:val="16"/>
              </w:rPr>
              <w:t xml:space="preserve">Source photo : Würth </w:t>
            </w:r>
            <w:proofErr w:type="spellStart"/>
            <w:r>
              <w:rPr>
                <w:sz w:val="16"/>
              </w:rPr>
              <w:t>Elektronik</w:t>
            </w:r>
            <w:proofErr w:type="spellEnd"/>
            <w:r>
              <w:rPr>
                <w:sz w:val="16"/>
              </w:rPr>
              <w:t xml:space="preserve"> </w:t>
            </w:r>
          </w:p>
          <w:p w14:paraId="4BBAF83E" w14:textId="538F7C3B" w:rsidR="00DE2880" w:rsidRPr="00B94DAE" w:rsidRDefault="004909BA" w:rsidP="00CE17D6">
            <w:pPr>
              <w:autoSpaceDE w:val="0"/>
              <w:autoSpaceDN w:val="0"/>
              <w:adjustRightInd w:val="0"/>
              <w:rPr>
                <w:rFonts w:ascii="Arial" w:hAnsi="Arial" w:cs="Arial"/>
                <w:b/>
                <w:sz w:val="18"/>
                <w:szCs w:val="18"/>
              </w:rPr>
            </w:pPr>
            <w:r>
              <w:rPr>
                <w:rFonts w:ascii="Arial" w:hAnsi="Arial"/>
                <w:b/>
                <w:sz w:val="18"/>
              </w:rPr>
              <w:t>Exemple d’application : Convertisseur DC/DC</w:t>
            </w:r>
          </w:p>
          <w:p w14:paraId="5ED23578" w14:textId="77777777" w:rsidR="00DE2880" w:rsidRPr="00B94DAE" w:rsidRDefault="00DE2880" w:rsidP="00CE17D6">
            <w:pPr>
              <w:autoSpaceDE w:val="0"/>
              <w:autoSpaceDN w:val="0"/>
              <w:adjustRightInd w:val="0"/>
              <w:rPr>
                <w:rFonts w:ascii="Arial" w:hAnsi="Arial" w:cs="Arial"/>
                <w:b/>
                <w:bCs/>
                <w:sz w:val="18"/>
                <w:szCs w:val="18"/>
              </w:rPr>
            </w:pPr>
          </w:p>
        </w:tc>
        <w:tc>
          <w:tcPr>
            <w:tcW w:w="4961" w:type="dxa"/>
          </w:tcPr>
          <w:p w14:paraId="014D382B" w14:textId="19F6BCD3" w:rsidR="00DE2880" w:rsidRPr="00DE2880" w:rsidRDefault="00DE2880" w:rsidP="00DE2880">
            <w:pPr>
              <w:pStyle w:val="txt"/>
              <w:rPr>
                <w:b/>
              </w:rPr>
            </w:pPr>
            <w:r>
              <w:rPr>
                <w:b/>
              </w:rPr>
              <w:br/>
            </w:r>
            <w:r>
              <w:rPr>
                <w:noProof/>
              </w:rPr>
              <w:drawing>
                <wp:inline distT="0" distB="0" distL="0" distR="0" wp14:anchorId="5B961F52" wp14:editId="0A75EC12">
                  <wp:extent cx="2988178" cy="1440000"/>
                  <wp:effectExtent l="0" t="0" r="3175" b="8255"/>
                  <wp:docPr id="103354217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542178" name=""/>
                          <pic:cNvPicPr/>
                        </pic:nvPicPr>
                        <pic:blipFill>
                          <a:blip r:embed="rId14"/>
                          <a:stretch>
                            <a:fillRect/>
                          </a:stretch>
                        </pic:blipFill>
                        <pic:spPr>
                          <a:xfrm>
                            <a:off x="0" y="0"/>
                            <a:ext cx="2988178" cy="1440000"/>
                          </a:xfrm>
                          <a:prstGeom prst="rect">
                            <a:avLst/>
                          </a:prstGeom>
                        </pic:spPr>
                      </pic:pic>
                    </a:graphicData>
                  </a:graphic>
                </wp:inline>
              </w:drawing>
            </w:r>
            <w:r w:rsidRPr="007C3FE9">
              <w:rPr>
                <w:sz w:val="16"/>
              </w:rPr>
              <w:t>Source photo :</w:t>
            </w:r>
            <w:r>
              <w:rPr>
                <w:sz w:val="16"/>
              </w:rPr>
              <w:t xml:space="preserve"> Würth </w:t>
            </w:r>
            <w:proofErr w:type="spellStart"/>
            <w:r>
              <w:rPr>
                <w:sz w:val="16"/>
              </w:rPr>
              <w:t>Elektronik</w:t>
            </w:r>
            <w:proofErr w:type="spellEnd"/>
            <w:r>
              <w:rPr>
                <w:sz w:val="16"/>
              </w:rPr>
              <w:t xml:space="preserve"> </w:t>
            </w:r>
          </w:p>
          <w:p w14:paraId="037C80AF" w14:textId="1A803627" w:rsidR="00DE2880" w:rsidRPr="00B94DAE" w:rsidRDefault="004909BA" w:rsidP="0014276D">
            <w:pPr>
              <w:autoSpaceDE w:val="0"/>
              <w:autoSpaceDN w:val="0"/>
              <w:adjustRightInd w:val="0"/>
              <w:rPr>
                <w:b/>
              </w:rPr>
            </w:pPr>
            <w:r w:rsidRPr="007C3FE9">
              <w:rPr>
                <w:rFonts w:ascii="Arial" w:hAnsi="Arial"/>
                <w:b/>
                <w:sz w:val="18"/>
              </w:rPr>
              <w:t xml:space="preserve">La nouvelle caractéristique du produit dans la fiche technique indique clairement la tension de fonctionnement maximale de </w:t>
            </w:r>
            <w:r w:rsidR="00B84043">
              <w:rPr>
                <w:rFonts w:ascii="Arial" w:hAnsi="Arial"/>
                <w:b/>
                <w:sz w:val="18"/>
              </w:rPr>
              <w:t>l’inductance</w:t>
            </w:r>
            <w:r w:rsidR="00B84043" w:rsidRPr="007C3FE9">
              <w:rPr>
                <w:rFonts w:ascii="Arial" w:hAnsi="Arial"/>
                <w:b/>
                <w:sz w:val="18"/>
              </w:rPr>
              <w:t xml:space="preserve"> </w:t>
            </w:r>
            <w:r w:rsidRPr="007C3FE9">
              <w:rPr>
                <w:rFonts w:ascii="Arial" w:hAnsi="Arial"/>
                <w:b/>
                <w:sz w:val="18"/>
              </w:rPr>
              <w:t>dans l’application.</w:t>
            </w:r>
            <w:r w:rsidR="00025AEE">
              <w:rPr>
                <w:rFonts w:ascii="Arial" w:hAnsi="Arial"/>
                <w:b/>
                <w:sz w:val="18"/>
              </w:rPr>
              <w:br/>
            </w:r>
          </w:p>
        </w:tc>
      </w:tr>
    </w:tbl>
    <w:p w14:paraId="388B8CF4" w14:textId="77777777" w:rsidR="00485E6F" w:rsidRPr="00172A9E" w:rsidRDefault="00485E6F" w:rsidP="00485E6F">
      <w:pPr>
        <w:pStyle w:val="PITextkrper"/>
        <w:rPr>
          <w:b/>
          <w:bCs/>
          <w:sz w:val="18"/>
          <w:szCs w:val="18"/>
        </w:rPr>
      </w:pPr>
    </w:p>
    <w:p w14:paraId="1A961B77" w14:textId="43AA30FD" w:rsidR="00025AEE" w:rsidRDefault="00025AEE">
      <w:pPr>
        <w:rPr>
          <w:rFonts w:ascii="Arial" w:hAnsi="Arial" w:cs="Arial"/>
          <w:sz w:val="20"/>
          <w:szCs w:val="20"/>
        </w:rPr>
      </w:pPr>
      <w:r>
        <w:rPr>
          <w:rFonts w:ascii="Arial" w:hAnsi="Arial"/>
          <w:b/>
          <w:bCs/>
        </w:rPr>
        <w:br w:type="page"/>
      </w:r>
    </w:p>
    <w:p w14:paraId="732623F0" w14:textId="77777777" w:rsidR="00485E6F" w:rsidRPr="00B94DAE" w:rsidRDefault="00485E6F" w:rsidP="00485E6F">
      <w:pPr>
        <w:pStyle w:val="Textkrper"/>
        <w:spacing w:before="120" w:after="120" w:line="260" w:lineRule="exact"/>
        <w:jc w:val="both"/>
        <w:rPr>
          <w:rFonts w:ascii="Arial" w:hAnsi="Arial"/>
          <w:b w:val="0"/>
          <w:bCs w:val="0"/>
        </w:rPr>
      </w:pPr>
    </w:p>
    <w:p w14:paraId="0BA87216" w14:textId="77777777" w:rsidR="00485E6F" w:rsidRPr="00172A9E" w:rsidRDefault="00485E6F" w:rsidP="00485E6F">
      <w:pPr>
        <w:pStyle w:val="PITextkrper"/>
        <w:pBdr>
          <w:top w:val="single" w:sz="4" w:space="1" w:color="auto"/>
        </w:pBdr>
        <w:spacing w:before="240"/>
        <w:rPr>
          <w:b/>
          <w:sz w:val="18"/>
          <w:szCs w:val="18"/>
        </w:rPr>
      </w:pPr>
    </w:p>
    <w:p w14:paraId="19324A40" w14:textId="77777777" w:rsidR="00903318" w:rsidRPr="0023476F" w:rsidRDefault="00903318" w:rsidP="00903318">
      <w:pPr>
        <w:pStyle w:val="Textkrper"/>
        <w:spacing w:before="120" w:after="120" w:line="276" w:lineRule="auto"/>
        <w:rPr>
          <w:rFonts w:ascii="Arial" w:hAnsi="Arial"/>
        </w:rPr>
      </w:pPr>
      <w:r w:rsidRPr="0023476F">
        <w:rPr>
          <w:rFonts w:ascii="Arial" w:hAnsi="Arial"/>
        </w:rPr>
        <w:t xml:space="preserve">À propos du groupe Würth </w:t>
      </w:r>
      <w:proofErr w:type="spellStart"/>
      <w:r w:rsidRPr="0023476F">
        <w:rPr>
          <w:rFonts w:ascii="Arial" w:hAnsi="Arial"/>
        </w:rPr>
        <w:t>Elektronik</w:t>
      </w:r>
      <w:proofErr w:type="spellEnd"/>
      <w:r w:rsidRPr="0023476F">
        <w:rPr>
          <w:rFonts w:ascii="Arial" w:hAnsi="Arial"/>
        </w:rPr>
        <w:t xml:space="preserve"> eiSos </w:t>
      </w:r>
    </w:p>
    <w:p w14:paraId="395730B3" w14:textId="77777777" w:rsidR="00903318" w:rsidRPr="0023476F" w:rsidRDefault="00903318" w:rsidP="00903318">
      <w:pPr>
        <w:pStyle w:val="Textkrper"/>
        <w:spacing w:before="120" w:after="120" w:line="276" w:lineRule="auto"/>
        <w:jc w:val="both"/>
        <w:rPr>
          <w:rFonts w:ascii="Arial" w:hAnsi="Arial"/>
          <w:b w:val="0"/>
        </w:rPr>
      </w:pPr>
      <w:bookmarkStart w:id="0" w:name="_Hlk529547556"/>
      <w:r w:rsidRPr="0023476F">
        <w:rPr>
          <w:rFonts w:ascii="Arial" w:hAnsi="Arial"/>
          <w:b w:val="0"/>
        </w:rPr>
        <w:t xml:space="preserve">Le groupe Würth </w:t>
      </w:r>
      <w:proofErr w:type="spellStart"/>
      <w:r w:rsidRPr="0023476F">
        <w:rPr>
          <w:rFonts w:ascii="Arial" w:hAnsi="Arial"/>
          <w:b w:val="0"/>
        </w:rPr>
        <w:t>Elektronik</w:t>
      </w:r>
      <w:proofErr w:type="spellEnd"/>
      <w:r w:rsidRPr="0023476F">
        <w:rPr>
          <w:rFonts w:ascii="Arial" w:hAnsi="Arial"/>
          <w:b w:val="0"/>
        </w:rPr>
        <w:t xml:space="preserve"> eiSos est un fabricant de composants électroniques et électromécaniques pour l'industrie électronique et un facilitateur technologique pour des solutions électroniques pionnières.</w:t>
      </w:r>
      <w:bookmarkEnd w:id="0"/>
      <w:r w:rsidRPr="0023476F">
        <w:rPr>
          <w:rFonts w:ascii="Arial" w:hAnsi="Arial"/>
          <w:b w:val="0"/>
        </w:rPr>
        <w:t xml:space="preserve"> Würth </w:t>
      </w:r>
      <w:proofErr w:type="spellStart"/>
      <w:r w:rsidRPr="0023476F">
        <w:rPr>
          <w:rFonts w:ascii="Arial" w:hAnsi="Arial"/>
          <w:b w:val="0"/>
        </w:rPr>
        <w:t>Elektronik</w:t>
      </w:r>
      <w:proofErr w:type="spellEnd"/>
      <w:r w:rsidRPr="0023476F">
        <w:rPr>
          <w:rFonts w:ascii="Arial" w:hAnsi="Arial"/>
          <w:b w:val="0"/>
        </w:rPr>
        <w:t xml:space="preserve"> eiSos est l'un des plus grands fabricants européens de composants passifs et est actif dans 50 </w:t>
      </w:r>
      <w:r w:rsidRPr="0023476F">
        <w:rPr>
          <w:rFonts w:ascii="Arial" w:hAnsi="Arial"/>
          <w:b w:val="0"/>
        </w:rPr>
        <w:lastRenderedPageBreak/>
        <w:t xml:space="preserve">pays. Les sites de production situés en Europe, en Asie et en Amérique du Nord fournissent un nombre croissant de clients dans le monde entier. </w:t>
      </w:r>
    </w:p>
    <w:p w14:paraId="60F40663" w14:textId="77777777" w:rsidR="00903318" w:rsidRDefault="00903318" w:rsidP="00903318">
      <w:pPr>
        <w:pStyle w:val="Textkrper"/>
        <w:spacing w:before="120" w:after="120" w:line="276" w:lineRule="auto"/>
        <w:jc w:val="both"/>
        <w:rPr>
          <w:rFonts w:ascii="Arial" w:hAnsi="Arial"/>
          <w:b w:val="0"/>
        </w:rPr>
      </w:pPr>
      <w:r w:rsidRPr="0023476F">
        <w:rPr>
          <w:rFonts w:ascii="Arial" w:hAnsi="Arial"/>
          <w:b w:val="0"/>
        </w:rPr>
        <w:t xml:space="preserve">La gamme de produits comprend : composants CEM, inductances, transformateurs, composants RF, varistances, condensateurs, résistances, quartz et oscillateurs, modules de puissance, bobines pour le transfert de puissance sans fils, diodes électroluminescentes, modules radio, connecteurs, Composants pour alimentations, </w:t>
      </w:r>
      <w:proofErr w:type="spellStart"/>
      <w:r w:rsidRPr="0023476F">
        <w:rPr>
          <w:rFonts w:ascii="Arial" w:hAnsi="Arial"/>
          <w:b w:val="0"/>
        </w:rPr>
        <w:t>switchs</w:t>
      </w:r>
      <w:proofErr w:type="spellEnd"/>
      <w:r w:rsidRPr="0023476F">
        <w:rPr>
          <w:rFonts w:ascii="Arial" w:hAnsi="Arial"/>
          <w:b w:val="0"/>
        </w:rPr>
        <w:t xml:space="preserve">, boutons-poussoirs, plots de connexion de puissance, porte-fusibles, capteurs et solutions pour la transmission de données sans fils. </w:t>
      </w:r>
      <w:r>
        <w:rPr>
          <w:rFonts w:ascii="Arial" w:hAnsi="Arial"/>
          <w:b w:val="0"/>
        </w:rPr>
        <w:t>La gamme est complétée par des solutions personnalisées.</w:t>
      </w:r>
    </w:p>
    <w:p w14:paraId="0CA5E91F" w14:textId="77777777" w:rsidR="00903318" w:rsidRPr="0023476F" w:rsidRDefault="00903318" w:rsidP="00903318">
      <w:pPr>
        <w:pStyle w:val="Textkrper"/>
        <w:spacing w:before="120" w:after="120" w:line="276" w:lineRule="auto"/>
        <w:jc w:val="both"/>
        <w:rPr>
          <w:rFonts w:ascii="Arial" w:hAnsi="Arial"/>
          <w:b w:val="0"/>
        </w:rPr>
      </w:pPr>
      <w:r w:rsidRPr="0023476F">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53ED05FB" w14:textId="77777777" w:rsidR="00903318" w:rsidRPr="0023476F" w:rsidRDefault="00903318" w:rsidP="00903318">
      <w:pPr>
        <w:pStyle w:val="Textkrper"/>
        <w:spacing w:before="120" w:after="120" w:line="276" w:lineRule="auto"/>
        <w:jc w:val="both"/>
        <w:rPr>
          <w:rFonts w:ascii="Arial" w:hAnsi="Arial"/>
          <w:b w:val="0"/>
        </w:rPr>
      </w:pPr>
      <w:r w:rsidRPr="0023476F">
        <w:rPr>
          <w:rFonts w:ascii="Arial" w:hAnsi="Arial"/>
          <w:b w:val="0"/>
        </w:rPr>
        <w:t xml:space="preserve">Würth </w:t>
      </w:r>
      <w:proofErr w:type="spellStart"/>
      <w:r w:rsidRPr="0023476F">
        <w:rPr>
          <w:rFonts w:ascii="Arial" w:hAnsi="Arial"/>
          <w:b w:val="0"/>
        </w:rPr>
        <w:t>Elektronik</w:t>
      </w:r>
      <w:proofErr w:type="spellEnd"/>
      <w:r w:rsidRPr="0023476F">
        <w:rPr>
          <w:rFonts w:ascii="Arial" w:hAnsi="Arial"/>
          <w:b w:val="0"/>
        </w:rPr>
        <w:t xml:space="preserve"> fait partie du groupe Würth, leader mondial sur le marché des techniques d'assemblage et de fixation. La société emploie </w:t>
      </w:r>
      <w:r>
        <w:rPr>
          <w:rFonts w:ascii="Arial" w:hAnsi="Arial"/>
          <w:b w:val="0"/>
        </w:rPr>
        <w:t>79</w:t>
      </w:r>
      <w:r w:rsidRPr="0023476F">
        <w:rPr>
          <w:rFonts w:ascii="Arial" w:hAnsi="Arial"/>
          <w:b w:val="0"/>
        </w:rPr>
        <w:t>00 personnes et a réalisé un chiffre d'affaires de 1,</w:t>
      </w:r>
      <w:r>
        <w:rPr>
          <w:rFonts w:ascii="Arial" w:hAnsi="Arial"/>
          <w:b w:val="0"/>
        </w:rPr>
        <w:t>24</w:t>
      </w:r>
      <w:r w:rsidRPr="0023476F">
        <w:rPr>
          <w:rFonts w:ascii="Arial" w:hAnsi="Arial"/>
          <w:b w:val="0"/>
        </w:rPr>
        <w:t xml:space="preserve"> milliard d’euros en 202</w:t>
      </w:r>
      <w:r>
        <w:rPr>
          <w:rFonts w:ascii="Arial" w:hAnsi="Arial"/>
          <w:b w:val="0"/>
        </w:rPr>
        <w:t>3</w:t>
      </w:r>
      <w:r w:rsidRPr="0023476F">
        <w:rPr>
          <w:rFonts w:ascii="Arial" w:hAnsi="Arial"/>
          <w:b w:val="0"/>
        </w:rPr>
        <w:t>.</w:t>
      </w:r>
    </w:p>
    <w:p w14:paraId="470B3F1B" w14:textId="77777777" w:rsidR="00903318" w:rsidRPr="0023476F" w:rsidRDefault="00903318" w:rsidP="00903318">
      <w:pPr>
        <w:pStyle w:val="Textkrper"/>
        <w:spacing w:before="120" w:after="120" w:line="276" w:lineRule="auto"/>
        <w:jc w:val="both"/>
        <w:rPr>
          <w:rFonts w:ascii="Arial" w:hAnsi="Arial"/>
          <w:b w:val="0"/>
        </w:rPr>
      </w:pPr>
      <w:r w:rsidRPr="0023476F">
        <w:rPr>
          <w:rFonts w:ascii="Arial" w:hAnsi="Arial"/>
          <w:b w:val="0"/>
        </w:rPr>
        <w:t xml:space="preserve">Würth </w:t>
      </w:r>
      <w:proofErr w:type="spellStart"/>
      <w:r w:rsidRPr="0023476F">
        <w:rPr>
          <w:rFonts w:ascii="Arial" w:hAnsi="Arial"/>
          <w:b w:val="0"/>
        </w:rPr>
        <w:t>Elektronik</w:t>
      </w:r>
      <w:proofErr w:type="spellEnd"/>
      <w:r w:rsidRPr="0023476F">
        <w:rPr>
          <w:rFonts w:ascii="Arial" w:hAnsi="Arial"/>
          <w:b w:val="0"/>
        </w:rPr>
        <w:t xml:space="preserve"> : more </w:t>
      </w:r>
      <w:proofErr w:type="spellStart"/>
      <w:r w:rsidRPr="0023476F">
        <w:rPr>
          <w:rFonts w:ascii="Arial" w:hAnsi="Arial"/>
          <w:b w:val="0"/>
        </w:rPr>
        <w:t>than</w:t>
      </w:r>
      <w:proofErr w:type="spellEnd"/>
      <w:r w:rsidRPr="0023476F">
        <w:rPr>
          <w:rFonts w:ascii="Arial" w:hAnsi="Arial"/>
          <w:b w:val="0"/>
        </w:rPr>
        <w:t xml:space="preserve"> </w:t>
      </w:r>
      <w:proofErr w:type="spellStart"/>
      <w:r w:rsidRPr="0023476F">
        <w:rPr>
          <w:rFonts w:ascii="Arial" w:hAnsi="Arial"/>
          <w:b w:val="0"/>
        </w:rPr>
        <w:t>you</w:t>
      </w:r>
      <w:proofErr w:type="spellEnd"/>
      <w:r w:rsidRPr="0023476F">
        <w:rPr>
          <w:rFonts w:ascii="Arial" w:hAnsi="Arial"/>
          <w:b w:val="0"/>
        </w:rPr>
        <w:t xml:space="preserve"> </w:t>
      </w:r>
      <w:proofErr w:type="spellStart"/>
      <w:r w:rsidRPr="0023476F">
        <w:rPr>
          <w:rFonts w:ascii="Arial" w:hAnsi="Arial"/>
          <w:b w:val="0"/>
        </w:rPr>
        <w:t>expect</w:t>
      </w:r>
      <w:proofErr w:type="spellEnd"/>
      <w:r w:rsidRPr="0023476F">
        <w:rPr>
          <w:rFonts w:ascii="Arial" w:hAnsi="Arial"/>
          <w:b w:val="0"/>
        </w:rPr>
        <w:t> !</w:t>
      </w:r>
    </w:p>
    <w:p w14:paraId="1580CF3F" w14:textId="77777777" w:rsidR="00903318" w:rsidRPr="0023476F" w:rsidRDefault="00903318" w:rsidP="00903318">
      <w:pPr>
        <w:pStyle w:val="Textkrper"/>
        <w:spacing w:before="120" w:after="120" w:line="276" w:lineRule="auto"/>
      </w:pPr>
      <w:r w:rsidRPr="0023476F">
        <w:rPr>
          <w:rFonts w:ascii="Arial" w:hAnsi="Arial"/>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903318" w:rsidRPr="0023476F" w14:paraId="13013E74" w14:textId="77777777" w:rsidTr="00522F9E">
        <w:tc>
          <w:tcPr>
            <w:tcW w:w="3902" w:type="dxa"/>
            <w:shd w:val="clear" w:color="auto" w:fill="auto"/>
            <w:hideMark/>
          </w:tcPr>
          <w:p w14:paraId="099B4E99" w14:textId="77777777" w:rsidR="00903318" w:rsidRPr="0023476F" w:rsidRDefault="00903318" w:rsidP="00522F9E">
            <w:pPr>
              <w:pStyle w:val="Textkrper"/>
              <w:autoSpaceDE/>
              <w:adjustRightInd/>
              <w:spacing w:before="120" w:after="120" w:line="276" w:lineRule="auto"/>
              <w:rPr>
                <w:b w:val="0"/>
                <w:bCs w:val="0"/>
              </w:rPr>
            </w:pPr>
            <w:r w:rsidRPr="0023476F">
              <w:br w:type="page"/>
            </w:r>
            <w:r w:rsidRPr="0023476F">
              <w:rPr>
                <w:b w:val="0"/>
                <w:bCs w:val="0"/>
              </w:rPr>
              <w:br w:type="page"/>
            </w:r>
          </w:p>
          <w:p w14:paraId="26230B97" w14:textId="77777777" w:rsidR="00903318" w:rsidRPr="0023476F" w:rsidRDefault="00903318" w:rsidP="00522F9E">
            <w:pPr>
              <w:pStyle w:val="Textkrper"/>
              <w:autoSpaceDE/>
              <w:adjustRightInd/>
              <w:spacing w:before="120" w:after="120" w:line="276" w:lineRule="auto"/>
              <w:rPr>
                <w:rFonts w:ascii="Arial" w:hAnsi="Arial"/>
                <w:bCs w:val="0"/>
                <w:szCs w:val="24"/>
              </w:rPr>
            </w:pPr>
            <w:r w:rsidRPr="0023476F">
              <w:rPr>
                <w:rFonts w:ascii="Arial" w:hAnsi="Arial"/>
              </w:rPr>
              <w:t>Autres informations :</w:t>
            </w:r>
          </w:p>
          <w:p w14:paraId="298068B0" w14:textId="77777777" w:rsidR="00903318" w:rsidRPr="0023476F" w:rsidRDefault="00903318" w:rsidP="00522F9E">
            <w:pPr>
              <w:spacing w:before="120" w:after="120" w:line="276" w:lineRule="auto"/>
              <w:rPr>
                <w:rFonts w:ascii="Arial" w:hAnsi="Arial" w:cs="Arial"/>
                <w:sz w:val="20"/>
              </w:rPr>
            </w:pPr>
            <w:r w:rsidRPr="0023476F">
              <w:rPr>
                <w:rFonts w:ascii="Arial" w:hAnsi="Arial" w:cs="Arial"/>
                <w:sz w:val="20"/>
              </w:rPr>
              <w:t xml:space="preserve">Würth </w:t>
            </w:r>
            <w:proofErr w:type="spellStart"/>
            <w:r w:rsidRPr="0023476F">
              <w:rPr>
                <w:rFonts w:ascii="Arial" w:hAnsi="Arial" w:cs="Arial"/>
                <w:sz w:val="20"/>
              </w:rPr>
              <w:t>Elektronik</w:t>
            </w:r>
            <w:proofErr w:type="spellEnd"/>
            <w:r w:rsidRPr="0023476F">
              <w:rPr>
                <w:rFonts w:ascii="Arial" w:hAnsi="Arial" w:cs="Arial"/>
                <w:sz w:val="20"/>
              </w:rPr>
              <w:t xml:space="preserve"> France</w:t>
            </w:r>
            <w:r w:rsidRPr="0023476F">
              <w:rPr>
                <w:rFonts w:ascii="Arial" w:hAnsi="Arial" w:cs="Arial"/>
                <w:sz w:val="20"/>
              </w:rPr>
              <w:br/>
              <w:t>Romain Méjean</w:t>
            </w:r>
            <w:r w:rsidRPr="0023476F">
              <w:rPr>
                <w:rFonts w:ascii="Arial" w:hAnsi="Arial" w:cs="Arial"/>
                <w:sz w:val="20"/>
              </w:rPr>
              <w:br/>
              <w:t>1861, Avenue Henri Schneider</w:t>
            </w:r>
            <w:r w:rsidRPr="0023476F">
              <w:rPr>
                <w:rFonts w:ascii="Arial" w:hAnsi="Arial" w:cs="Arial"/>
                <w:sz w:val="20"/>
              </w:rPr>
              <w:br/>
              <w:t>CS 70029</w:t>
            </w:r>
            <w:r w:rsidRPr="0023476F">
              <w:rPr>
                <w:rFonts w:ascii="Arial" w:hAnsi="Arial" w:cs="Arial"/>
                <w:sz w:val="20"/>
              </w:rPr>
              <w:br/>
              <w:t>69881 Meyzieu Cedex</w:t>
            </w:r>
            <w:r w:rsidRPr="0023476F">
              <w:rPr>
                <w:rFonts w:ascii="Arial" w:hAnsi="Arial" w:cs="Arial"/>
                <w:sz w:val="20"/>
              </w:rPr>
              <w:br/>
              <w:t>France</w:t>
            </w:r>
          </w:p>
          <w:p w14:paraId="3E3CF0B1" w14:textId="77777777" w:rsidR="00903318" w:rsidRPr="0023476F" w:rsidRDefault="00903318" w:rsidP="00522F9E">
            <w:pPr>
              <w:spacing w:before="120" w:after="120" w:line="276" w:lineRule="auto"/>
              <w:rPr>
                <w:rFonts w:ascii="Arial" w:hAnsi="Arial" w:cs="Arial"/>
                <w:sz w:val="20"/>
              </w:rPr>
            </w:pPr>
            <w:r w:rsidRPr="0023476F">
              <w:rPr>
                <w:rFonts w:ascii="Arial" w:hAnsi="Arial" w:cs="Arial"/>
                <w:sz w:val="20"/>
              </w:rPr>
              <w:t>Mob : +33 6 75 28 45 24</w:t>
            </w:r>
            <w:r w:rsidRPr="0023476F">
              <w:rPr>
                <w:rFonts w:ascii="Arial" w:hAnsi="Arial" w:cs="Arial"/>
                <w:sz w:val="20"/>
              </w:rPr>
              <w:br/>
            </w:r>
            <w:r w:rsidRPr="0023476F">
              <w:rPr>
                <w:rFonts w:ascii="Arial" w:hAnsi="Arial" w:cs="Arial"/>
                <w:bCs/>
                <w:sz w:val="20"/>
              </w:rPr>
              <w:t xml:space="preserve">Courriel : </w:t>
            </w:r>
            <w:r w:rsidRPr="0023476F">
              <w:rPr>
                <w:rFonts w:ascii="Arial" w:hAnsi="Arial" w:cs="Arial"/>
                <w:bCs/>
                <w:sz w:val="20"/>
              </w:rPr>
              <w:br/>
              <w:t>romain.mejean@we-online.com</w:t>
            </w:r>
          </w:p>
          <w:p w14:paraId="42EA9E74" w14:textId="77777777" w:rsidR="00903318" w:rsidRPr="0023476F" w:rsidRDefault="00903318" w:rsidP="00522F9E">
            <w:pPr>
              <w:spacing w:before="120" w:after="120" w:line="276" w:lineRule="auto"/>
              <w:rPr>
                <w:rFonts w:ascii="Arial" w:hAnsi="Arial" w:cs="Arial"/>
                <w:bCs/>
                <w:sz w:val="20"/>
              </w:rPr>
            </w:pPr>
            <w:r w:rsidRPr="0023476F">
              <w:rPr>
                <w:rFonts w:ascii="Arial" w:hAnsi="Arial" w:cs="Arial"/>
                <w:bCs/>
                <w:sz w:val="20"/>
              </w:rPr>
              <w:t>www.we-online.com</w:t>
            </w:r>
          </w:p>
          <w:p w14:paraId="3DCD8E0D" w14:textId="77777777" w:rsidR="00903318" w:rsidRPr="0023476F" w:rsidRDefault="00903318" w:rsidP="00522F9E">
            <w:pPr>
              <w:rPr>
                <w:rFonts w:ascii="Arial" w:hAnsi="Arial" w:cs="Arial"/>
                <w:sz w:val="20"/>
              </w:rPr>
            </w:pPr>
          </w:p>
          <w:p w14:paraId="11CF4E42" w14:textId="77777777" w:rsidR="00903318" w:rsidRPr="0023476F" w:rsidRDefault="00903318" w:rsidP="00522F9E">
            <w:pPr>
              <w:rPr>
                <w:rFonts w:ascii="Arial" w:hAnsi="Arial" w:cs="Arial"/>
                <w:sz w:val="20"/>
              </w:rPr>
            </w:pPr>
          </w:p>
        </w:tc>
        <w:tc>
          <w:tcPr>
            <w:tcW w:w="3193" w:type="dxa"/>
            <w:shd w:val="clear" w:color="auto" w:fill="auto"/>
            <w:hideMark/>
          </w:tcPr>
          <w:p w14:paraId="58FA0308" w14:textId="77777777" w:rsidR="00903318" w:rsidRPr="0023476F" w:rsidRDefault="00903318" w:rsidP="00522F9E">
            <w:pPr>
              <w:pStyle w:val="Textkrper"/>
              <w:tabs>
                <w:tab w:val="left" w:pos="1065"/>
              </w:tabs>
              <w:autoSpaceDE/>
              <w:adjustRightInd/>
              <w:spacing w:before="120" w:after="120" w:line="276" w:lineRule="auto"/>
              <w:rPr>
                <w:rFonts w:ascii="Arial" w:hAnsi="Arial"/>
              </w:rPr>
            </w:pPr>
          </w:p>
          <w:p w14:paraId="0A532792" w14:textId="77777777" w:rsidR="00903318" w:rsidRPr="0023476F" w:rsidRDefault="00903318" w:rsidP="00522F9E">
            <w:pPr>
              <w:pStyle w:val="Textkrper"/>
              <w:tabs>
                <w:tab w:val="left" w:pos="1065"/>
              </w:tabs>
              <w:autoSpaceDE/>
              <w:adjustRightInd/>
              <w:spacing w:before="120" w:after="120" w:line="276" w:lineRule="auto"/>
              <w:rPr>
                <w:rFonts w:ascii="Arial" w:hAnsi="Arial"/>
                <w:bCs w:val="0"/>
                <w:szCs w:val="24"/>
              </w:rPr>
            </w:pPr>
            <w:r w:rsidRPr="0023476F">
              <w:rPr>
                <w:rFonts w:ascii="Arial" w:hAnsi="Arial"/>
              </w:rPr>
              <w:t>Contact presse :</w:t>
            </w:r>
          </w:p>
          <w:p w14:paraId="3321C177" w14:textId="77777777" w:rsidR="00903318" w:rsidRPr="0023476F" w:rsidRDefault="00903318" w:rsidP="00522F9E">
            <w:pPr>
              <w:tabs>
                <w:tab w:val="left" w:pos="1065"/>
              </w:tabs>
              <w:spacing w:before="120" w:after="120" w:line="276" w:lineRule="auto"/>
              <w:rPr>
                <w:rFonts w:ascii="Arial" w:hAnsi="Arial" w:cs="Arial"/>
                <w:bCs/>
                <w:sz w:val="20"/>
              </w:rPr>
            </w:pPr>
            <w:r w:rsidRPr="0023476F">
              <w:rPr>
                <w:rFonts w:ascii="Arial" w:hAnsi="Arial"/>
                <w:sz w:val="20"/>
              </w:rPr>
              <w:t>HighTech communications GmbH</w:t>
            </w:r>
            <w:r w:rsidRPr="0023476F">
              <w:br/>
            </w:r>
            <w:r w:rsidRPr="0023476F">
              <w:rPr>
                <w:rFonts w:ascii="Arial" w:hAnsi="Arial"/>
                <w:sz w:val="20"/>
              </w:rPr>
              <w:t>Brigitte Basilio</w:t>
            </w:r>
            <w:r w:rsidRPr="0023476F">
              <w:br/>
            </w:r>
            <w:proofErr w:type="spellStart"/>
            <w:r w:rsidRPr="0023476F">
              <w:rPr>
                <w:rFonts w:ascii="Arial" w:hAnsi="Arial"/>
                <w:sz w:val="20"/>
              </w:rPr>
              <w:t>Brunhamstrasse</w:t>
            </w:r>
            <w:proofErr w:type="spellEnd"/>
            <w:r w:rsidRPr="0023476F">
              <w:rPr>
                <w:rFonts w:ascii="Arial" w:hAnsi="Arial"/>
                <w:sz w:val="20"/>
              </w:rPr>
              <w:t xml:space="preserve"> 21</w:t>
            </w:r>
            <w:r w:rsidRPr="0023476F">
              <w:br/>
            </w:r>
            <w:r w:rsidRPr="0023476F">
              <w:rPr>
                <w:rFonts w:ascii="Arial" w:hAnsi="Arial"/>
                <w:sz w:val="20"/>
              </w:rPr>
              <w:t xml:space="preserve">81249 </w:t>
            </w:r>
            <w:proofErr w:type="spellStart"/>
            <w:r w:rsidRPr="0023476F">
              <w:rPr>
                <w:rFonts w:ascii="Arial" w:hAnsi="Arial"/>
                <w:sz w:val="20"/>
              </w:rPr>
              <w:t>München</w:t>
            </w:r>
            <w:proofErr w:type="spellEnd"/>
            <w:r w:rsidRPr="0023476F">
              <w:rPr>
                <w:rFonts w:ascii="Arial" w:hAnsi="Arial"/>
                <w:sz w:val="20"/>
              </w:rPr>
              <w:br/>
              <w:t>Allemagne</w:t>
            </w:r>
          </w:p>
          <w:p w14:paraId="3107B944" w14:textId="77777777" w:rsidR="00903318" w:rsidRPr="0023476F" w:rsidRDefault="00903318" w:rsidP="00522F9E">
            <w:pPr>
              <w:tabs>
                <w:tab w:val="left" w:pos="1065"/>
              </w:tabs>
              <w:spacing w:before="120" w:after="120" w:line="276" w:lineRule="auto"/>
              <w:rPr>
                <w:rFonts w:ascii="Arial" w:hAnsi="Arial" w:cs="Arial"/>
                <w:bCs/>
                <w:sz w:val="20"/>
              </w:rPr>
            </w:pPr>
            <w:r w:rsidRPr="0023476F">
              <w:rPr>
                <w:rFonts w:ascii="Arial" w:hAnsi="Arial"/>
                <w:sz w:val="20"/>
              </w:rPr>
              <w:t xml:space="preserve">Tél : +49 89 500778-20 </w:t>
            </w:r>
            <w:r w:rsidRPr="0023476F">
              <w:br/>
            </w:r>
            <w:r w:rsidRPr="0023476F">
              <w:rPr>
                <w:rFonts w:ascii="Arial" w:hAnsi="Arial"/>
                <w:sz w:val="20"/>
              </w:rPr>
              <w:t xml:space="preserve">Courriel : </w:t>
            </w:r>
            <w:r w:rsidRPr="0023476F">
              <w:rPr>
                <w:rFonts w:ascii="Arial" w:hAnsi="Arial"/>
                <w:sz w:val="20"/>
              </w:rPr>
              <w:br/>
              <w:t>b.basilio@htcm.de</w:t>
            </w:r>
          </w:p>
          <w:p w14:paraId="105B20AD" w14:textId="77777777" w:rsidR="00903318" w:rsidRPr="0023476F" w:rsidRDefault="00903318" w:rsidP="00522F9E">
            <w:pPr>
              <w:tabs>
                <w:tab w:val="left" w:pos="1065"/>
              </w:tabs>
              <w:spacing w:before="120" w:after="120" w:line="276" w:lineRule="auto"/>
              <w:rPr>
                <w:rFonts w:ascii="Arial" w:hAnsi="Arial" w:cs="Arial"/>
                <w:bCs/>
                <w:sz w:val="20"/>
              </w:rPr>
            </w:pPr>
            <w:r w:rsidRPr="0023476F">
              <w:rPr>
                <w:rFonts w:ascii="Arial" w:hAnsi="Arial"/>
                <w:sz w:val="20"/>
              </w:rPr>
              <w:t xml:space="preserve">www.htcm.de </w:t>
            </w:r>
          </w:p>
        </w:tc>
      </w:tr>
    </w:tbl>
    <w:p w14:paraId="2078774C" w14:textId="77777777" w:rsidR="00485E6F" w:rsidRPr="00B94DAE" w:rsidRDefault="00485E6F" w:rsidP="00485E6F">
      <w:pPr>
        <w:pStyle w:val="Textkrper"/>
        <w:spacing w:before="120" w:after="120" w:line="260" w:lineRule="exact"/>
      </w:pPr>
    </w:p>
    <w:p w14:paraId="4616A057" w14:textId="77777777" w:rsidR="003E1703" w:rsidRDefault="003E1703" w:rsidP="00485E6F">
      <w:pPr>
        <w:pStyle w:val="Textkrper"/>
        <w:spacing w:before="120" w:after="120" w:line="260" w:lineRule="exact"/>
        <w:jc w:val="both"/>
        <w:rPr>
          <w:rFonts w:ascii="Calibri" w:hAnsi="Calibri" w:cs="Calibri"/>
          <w:sz w:val="22"/>
          <w:szCs w:val="22"/>
        </w:rPr>
      </w:pPr>
    </w:p>
    <w:sectPr w:rsidR="003E1703" w:rsidSect="00835137">
      <w:headerReference w:type="default" r:id="rId15"/>
      <w:footerReference w:type="default" r:id="rId16"/>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C0D57" w14:textId="77777777" w:rsidR="005024E4" w:rsidRDefault="005024E4">
      <w:r>
        <w:separator/>
      </w:r>
    </w:p>
  </w:endnote>
  <w:endnote w:type="continuationSeparator" w:id="0">
    <w:p w14:paraId="12623E15" w14:textId="77777777" w:rsidR="005024E4" w:rsidRDefault="00502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tillium Web">
    <w:charset w:val="00"/>
    <w:family w:val="auto"/>
    <w:pitch w:val="variable"/>
    <w:sig w:usb0="00000007" w:usb1="00000001" w:usb2="00000000" w:usb3="00000000" w:csb0="000000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592F7815" w:rsidR="00D84800" w:rsidRPr="00153D3B" w:rsidRDefault="00D84800" w:rsidP="00D84800">
    <w:pPr>
      <w:pStyle w:val="Fuzeile"/>
      <w:tabs>
        <w:tab w:val="clear" w:pos="4536"/>
        <w:tab w:val="clear" w:pos="9072"/>
        <w:tab w:val="right" w:pos="7088"/>
      </w:tabs>
      <w:rPr>
        <w:rFonts w:ascii="Arial" w:hAnsi="Arial" w:cs="Arial"/>
        <w:noProof/>
        <w:snapToGrid w:val="0"/>
        <w:sz w:val="16"/>
        <w:szCs w:val="16"/>
        <w:lang w:val="de-DE"/>
      </w:rPr>
    </w:pPr>
    <w:r w:rsidRPr="00A74816">
      <w:rPr>
        <w:rFonts w:ascii="Arial" w:hAnsi="Arial" w:cs="Arial"/>
        <w:snapToGrid w:val="0"/>
        <w:sz w:val="16"/>
      </w:rPr>
      <w:fldChar w:fldCharType="begin"/>
    </w:r>
    <w:r w:rsidRPr="00153D3B">
      <w:rPr>
        <w:rFonts w:ascii="Arial" w:hAnsi="Arial" w:cs="Arial"/>
        <w:snapToGrid w:val="0"/>
        <w:sz w:val="16"/>
        <w:lang w:val="de-DE"/>
      </w:rPr>
      <w:instrText xml:space="preserve"> FILENAME  \* MERGEFORMAT </w:instrText>
    </w:r>
    <w:r w:rsidRPr="00A74816">
      <w:rPr>
        <w:rFonts w:ascii="Arial" w:hAnsi="Arial" w:cs="Arial"/>
        <w:snapToGrid w:val="0"/>
        <w:sz w:val="16"/>
      </w:rPr>
      <w:fldChar w:fldCharType="separate"/>
    </w:r>
    <w:r w:rsidR="007C3FE9">
      <w:rPr>
        <w:rFonts w:ascii="Arial" w:hAnsi="Arial" w:cs="Arial"/>
        <w:noProof/>
        <w:snapToGrid w:val="0"/>
        <w:sz w:val="16"/>
        <w:lang w:val="de-DE"/>
      </w:rPr>
      <w:t>WTH1PI1489</w:t>
    </w:r>
    <w:r w:rsidR="00025AEE">
      <w:rPr>
        <w:rFonts w:ascii="Arial" w:hAnsi="Arial" w:cs="Arial"/>
        <w:noProof/>
        <w:snapToGrid w:val="0"/>
        <w:sz w:val="16"/>
        <w:lang w:val="de-DE"/>
      </w:rPr>
      <w:t>_</w:t>
    </w:r>
    <w:r w:rsidR="00903318">
      <w:rPr>
        <w:rFonts w:ascii="Arial" w:hAnsi="Arial" w:cs="Arial"/>
        <w:noProof/>
        <w:snapToGrid w:val="0"/>
        <w:sz w:val="16"/>
        <w:lang w:val="de-DE"/>
      </w:rPr>
      <w:t>fr.docx</w:t>
    </w:r>
    <w:r w:rsidRPr="00A74816">
      <w:rPr>
        <w:rFonts w:ascii="Arial" w:hAnsi="Arial" w:cs="Arial"/>
        <w:snapToGrid w:val="0"/>
        <w:sz w:val="16"/>
      </w:rPr>
      <w:fldChar w:fldCharType="end"/>
    </w:r>
    <w:r w:rsidRPr="00153D3B">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21650" w14:textId="77777777" w:rsidR="005024E4" w:rsidRDefault="005024E4">
      <w:r>
        <w:separator/>
      </w:r>
    </w:p>
  </w:footnote>
  <w:footnote w:type="continuationSeparator" w:id="0">
    <w:p w14:paraId="30081A94" w14:textId="77777777" w:rsidR="005024E4" w:rsidRDefault="00502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0DBA6109" w:rsidR="00AD41FF" w:rsidRDefault="00BB3607"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768CAC49">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2069748">
    <w:abstractNumId w:val="4"/>
  </w:num>
  <w:num w:numId="2" w16cid:durableId="473065617">
    <w:abstractNumId w:val="1"/>
  </w:num>
  <w:num w:numId="3" w16cid:durableId="1005016253">
    <w:abstractNumId w:val="2"/>
  </w:num>
  <w:num w:numId="4" w16cid:durableId="517819634">
    <w:abstractNumId w:val="3"/>
  </w:num>
  <w:num w:numId="5" w16cid:durableId="1331907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10CF"/>
    <w:rsid w:val="000258D8"/>
    <w:rsid w:val="00025AEE"/>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B7C3F"/>
    <w:rsid w:val="000B7DD7"/>
    <w:rsid w:val="000C23E9"/>
    <w:rsid w:val="000C5B85"/>
    <w:rsid w:val="000C7562"/>
    <w:rsid w:val="000D1E12"/>
    <w:rsid w:val="000D248A"/>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48AA"/>
    <w:rsid w:val="0011527C"/>
    <w:rsid w:val="00117E5E"/>
    <w:rsid w:val="00123175"/>
    <w:rsid w:val="001254AB"/>
    <w:rsid w:val="001255F4"/>
    <w:rsid w:val="00125D37"/>
    <w:rsid w:val="001274FC"/>
    <w:rsid w:val="00131977"/>
    <w:rsid w:val="00131F4F"/>
    <w:rsid w:val="00135811"/>
    <w:rsid w:val="001403D3"/>
    <w:rsid w:val="0014276D"/>
    <w:rsid w:val="001456DE"/>
    <w:rsid w:val="0014630E"/>
    <w:rsid w:val="001504E1"/>
    <w:rsid w:val="00153D3B"/>
    <w:rsid w:val="0015437A"/>
    <w:rsid w:val="00154E0D"/>
    <w:rsid w:val="00161F8B"/>
    <w:rsid w:val="0016652E"/>
    <w:rsid w:val="001667CD"/>
    <w:rsid w:val="00172A9E"/>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0E66"/>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47B1"/>
    <w:rsid w:val="00265445"/>
    <w:rsid w:val="00267ED9"/>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85E"/>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210C"/>
    <w:rsid w:val="00304188"/>
    <w:rsid w:val="00307B15"/>
    <w:rsid w:val="003105E2"/>
    <w:rsid w:val="003154CD"/>
    <w:rsid w:val="003156CA"/>
    <w:rsid w:val="00320451"/>
    <w:rsid w:val="00320E03"/>
    <w:rsid w:val="00321F48"/>
    <w:rsid w:val="00324A6A"/>
    <w:rsid w:val="0032557D"/>
    <w:rsid w:val="00326A8A"/>
    <w:rsid w:val="003375B0"/>
    <w:rsid w:val="00341B97"/>
    <w:rsid w:val="00346E77"/>
    <w:rsid w:val="00347536"/>
    <w:rsid w:val="00347F46"/>
    <w:rsid w:val="00350E63"/>
    <w:rsid w:val="00355E1C"/>
    <w:rsid w:val="00356C16"/>
    <w:rsid w:val="00357372"/>
    <w:rsid w:val="00366479"/>
    <w:rsid w:val="003668D1"/>
    <w:rsid w:val="0037012B"/>
    <w:rsid w:val="00372533"/>
    <w:rsid w:val="00376468"/>
    <w:rsid w:val="00376E2D"/>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6027E"/>
    <w:rsid w:val="004646CB"/>
    <w:rsid w:val="00465024"/>
    <w:rsid w:val="00470FBA"/>
    <w:rsid w:val="00483C3D"/>
    <w:rsid w:val="00485E6F"/>
    <w:rsid w:val="004909BA"/>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4E4"/>
    <w:rsid w:val="00502845"/>
    <w:rsid w:val="00505509"/>
    <w:rsid w:val="00505827"/>
    <w:rsid w:val="0050721A"/>
    <w:rsid w:val="005133F8"/>
    <w:rsid w:val="00516D0B"/>
    <w:rsid w:val="00525673"/>
    <w:rsid w:val="00525AEC"/>
    <w:rsid w:val="00530FC0"/>
    <w:rsid w:val="005327C7"/>
    <w:rsid w:val="005331A3"/>
    <w:rsid w:val="00535659"/>
    <w:rsid w:val="00537CB9"/>
    <w:rsid w:val="005405B1"/>
    <w:rsid w:val="005421CB"/>
    <w:rsid w:val="00550D3E"/>
    <w:rsid w:val="00551E8C"/>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B6538"/>
    <w:rsid w:val="005C06DF"/>
    <w:rsid w:val="005C1020"/>
    <w:rsid w:val="005C1B52"/>
    <w:rsid w:val="005C22CA"/>
    <w:rsid w:val="005C61CB"/>
    <w:rsid w:val="005C6D6A"/>
    <w:rsid w:val="005D160B"/>
    <w:rsid w:val="005D7454"/>
    <w:rsid w:val="005E1091"/>
    <w:rsid w:val="005E6D53"/>
    <w:rsid w:val="005F79FC"/>
    <w:rsid w:val="00603969"/>
    <w:rsid w:val="00604F45"/>
    <w:rsid w:val="0060621A"/>
    <w:rsid w:val="00606605"/>
    <w:rsid w:val="00607616"/>
    <w:rsid w:val="006123E2"/>
    <w:rsid w:val="006125AC"/>
    <w:rsid w:val="00615C3C"/>
    <w:rsid w:val="00616918"/>
    <w:rsid w:val="006177E2"/>
    <w:rsid w:val="0062517E"/>
    <w:rsid w:val="00625C04"/>
    <w:rsid w:val="006303C1"/>
    <w:rsid w:val="00633776"/>
    <w:rsid w:val="0063467B"/>
    <w:rsid w:val="0063628E"/>
    <w:rsid w:val="006503AE"/>
    <w:rsid w:val="00652895"/>
    <w:rsid w:val="00653582"/>
    <w:rsid w:val="0065536A"/>
    <w:rsid w:val="00656ACE"/>
    <w:rsid w:val="00663854"/>
    <w:rsid w:val="0066406D"/>
    <w:rsid w:val="00666284"/>
    <w:rsid w:val="00667A63"/>
    <w:rsid w:val="0067131F"/>
    <w:rsid w:val="006720B5"/>
    <w:rsid w:val="006769A9"/>
    <w:rsid w:val="00676CE8"/>
    <w:rsid w:val="00682175"/>
    <w:rsid w:val="00683D1C"/>
    <w:rsid w:val="006859A2"/>
    <w:rsid w:val="00686779"/>
    <w:rsid w:val="00693290"/>
    <w:rsid w:val="00695E61"/>
    <w:rsid w:val="006963F9"/>
    <w:rsid w:val="006A07EF"/>
    <w:rsid w:val="006A1135"/>
    <w:rsid w:val="006A1A89"/>
    <w:rsid w:val="006A2CF6"/>
    <w:rsid w:val="006A34DE"/>
    <w:rsid w:val="006A6CD7"/>
    <w:rsid w:val="006B05BF"/>
    <w:rsid w:val="006B3831"/>
    <w:rsid w:val="006B3F8F"/>
    <w:rsid w:val="006B56DA"/>
    <w:rsid w:val="006B5888"/>
    <w:rsid w:val="006C5F83"/>
    <w:rsid w:val="006D04BD"/>
    <w:rsid w:val="006D10F8"/>
    <w:rsid w:val="006D3950"/>
    <w:rsid w:val="006D5A34"/>
    <w:rsid w:val="006D6728"/>
    <w:rsid w:val="006D7E38"/>
    <w:rsid w:val="006E0378"/>
    <w:rsid w:val="006E17DE"/>
    <w:rsid w:val="006E2FFE"/>
    <w:rsid w:val="006E4AF5"/>
    <w:rsid w:val="006F1ECD"/>
    <w:rsid w:val="006F24AB"/>
    <w:rsid w:val="006F44B9"/>
    <w:rsid w:val="006F5B78"/>
    <w:rsid w:val="006F74C8"/>
    <w:rsid w:val="006F77BD"/>
    <w:rsid w:val="00701EFC"/>
    <w:rsid w:val="00704805"/>
    <w:rsid w:val="00704ADD"/>
    <w:rsid w:val="00704EB5"/>
    <w:rsid w:val="00705DBF"/>
    <w:rsid w:val="00710CC4"/>
    <w:rsid w:val="007111CA"/>
    <w:rsid w:val="00711385"/>
    <w:rsid w:val="00711D05"/>
    <w:rsid w:val="00711FC3"/>
    <w:rsid w:val="00712F34"/>
    <w:rsid w:val="007135BC"/>
    <w:rsid w:val="0071735D"/>
    <w:rsid w:val="00717B00"/>
    <w:rsid w:val="00721BD1"/>
    <w:rsid w:val="00723236"/>
    <w:rsid w:val="00724D2B"/>
    <w:rsid w:val="00727453"/>
    <w:rsid w:val="0073468B"/>
    <w:rsid w:val="0073482F"/>
    <w:rsid w:val="007367F4"/>
    <w:rsid w:val="00740F24"/>
    <w:rsid w:val="00745926"/>
    <w:rsid w:val="00754F0B"/>
    <w:rsid w:val="00755485"/>
    <w:rsid w:val="00755F6F"/>
    <w:rsid w:val="007566DE"/>
    <w:rsid w:val="00756F17"/>
    <w:rsid w:val="0076035C"/>
    <w:rsid w:val="00760B15"/>
    <w:rsid w:val="00760F61"/>
    <w:rsid w:val="0076179A"/>
    <w:rsid w:val="00764EC4"/>
    <w:rsid w:val="00766B74"/>
    <w:rsid w:val="00766DC8"/>
    <w:rsid w:val="007708B8"/>
    <w:rsid w:val="00771DF4"/>
    <w:rsid w:val="00772F4E"/>
    <w:rsid w:val="007735CE"/>
    <w:rsid w:val="00777EB9"/>
    <w:rsid w:val="00782FF2"/>
    <w:rsid w:val="00783D9B"/>
    <w:rsid w:val="0078774B"/>
    <w:rsid w:val="007913E6"/>
    <w:rsid w:val="00792497"/>
    <w:rsid w:val="007A4345"/>
    <w:rsid w:val="007A4D05"/>
    <w:rsid w:val="007B24FD"/>
    <w:rsid w:val="007B46DF"/>
    <w:rsid w:val="007C1E35"/>
    <w:rsid w:val="007C335A"/>
    <w:rsid w:val="007C3FE9"/>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5137"/>
    <w:rsid w:val="00837EBF"/>
    <w:rsid w:val="00840B24"/>
    <w:rsid w:val="008517BF"/>
    <w:rsid w:val="008523FC"/>
    <w:rsid w:val="0085304E"/>
    <w:rsid w:val="008536A9"/>
    <w:rsid w:val="008545C1"/>
    <w:rsid w:val="00854BEE"/>
    <w:rsid w:val="00855486"/>
    <w:rsid w:val="00856271"/>
    <w:rsid w:val="00856DDE"/>
    <w:rsid w:val="00857F72"/>
    <w:rsid w:val="00860705"/>
    <w:rsid w:val="00861F76"/>
    <w:rsid w:val="00862DC5"/>
    <w:rsid w:val="00865B71"/>
    <w:rsid w:val="00870C94"/>
    <w:rsid w:val="00870CC9"/>
    <w:rsid w:val="00873DDB"/>
    <w:rsid w:val="008777B9"/>
    <w:rsid w:val="008819C5"/>
    <w:rsid w:val="008830CD"/>
    <w:rsid w:val="00886681"/>
    <w:rsid w:val="008866CB"/>
    <w:rsid w:val="00897B98"/>
    <w:rsid w:val="008A2AFC"/>
    <w:rsid w:val="008A6395"/>
    <w:rsid w:val="008A648E"/>
    <w:rsid w:val="008B0135"/>
    <w:rsid w:val="008B2299"/>
    <w:rsid w:val="008B7643"/>
    <w:rsid w:val="008C4506"/>
    <w:rsid w:val="008C5637"/>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3318"/>
    <w:rsid w:val="009055D1"/>
    <w:rsid w:val="00905705"/>
    <w:rsid w:val="00910367"/>
    <w:rsid w:val="00912D24"/>
    <w:rsid w:val="009136ED"/>
    <w:rsid w:val="0091720A"/>
    <w:rsid w:val="00917A75"/>
    <w:rsid w:val="009207E3"/>
    <w:rsid w:val="00921D8B"/>
    <w:rsid w:val="009225F3"/>
    <w:rsid w:val="0092264B"/>
    <w:rsid w:val="009237D8"/>
    <w:rsid w:val="00923B94"/>
    <w:rsid w:val="00924525"/>
    <w:rsid w:val="00927E75"/>
    <w:rsid w:val="00930724"/>
    <w:rsid w:val="009310B2"/>
    <w:rsid w:val="00933172"/>
    <w:rsid w:val="00936CF9"/>
    <w:rsid w:val="00943348"/>
    <w:rsid w:val="00945975"/>
    <w:rsid w:val="00945C65"/>
    <w:rsid w:val="00950B5B"/>
    <w:rsid w:val="00952A3A"/>
    <w:rsid w:val="0095677C"/>
    <w:rsid w:val="00956D90"/>
    <w:rsid w:val="00962AC6"/>
    <w:rsid w:val="00962D50"/>
    <w:rsid w:val="009634CA"/>
    <w:rsid w:val="00964C14"/>
    <w:rsid w:val="00965C15"/>
    <w:rsid w:val="00966927"/>
    <w:rsid w:val="00970AA9"/>
    <w:rsid w:val="00970F7F"/>
    <w:rsid w:val="0097251E"/>
    <w:rsid w:val="00976FA7"/>
    <w:rsid w:val="009778D0"/>
    <w:rsid w:val="00977E34"/>
    <w:rsid w:val="0098005C"/>
    <w:rsid w:val="009805E8"/>
    <w:rsid w:val="009810CE"/>
    <w:rsid w:val="00981CD4"/>
    <w:rsid w:val="00982008"/>
    <w:rsid w:val="0098432E"/>
    <w:rsid w:val="0099174C"/>
    <w:rsid w:val="00991F97"/>
    <w:rsid w:val="00993D5D"/>
    <w:rsid w:val="00995576"/>
    <w:rsid w:val="009A1DA9"/>
    <w:rsid w:val="009A755C"/>
    <w:rsid w:val="009A7903"/>
    <w:rsid w:val="009B0FBA"/>
    <w:rsid w:val="009B14AF"/>
    <w:rsid w:val="009B4D91"/>
    <w:rsid w:val="009B5041"/>
    <w:rsid w:val="009C0CAB"/>
    <w:rsid w:val="009C488D"/>
    <w:rsid w:val="009C4DAD"/>
    <w:rsid w:val="009C58E2"/>
    <w:rsid w:val="009C6617"/>
    <w:rsid w:val="009C6BE5"/>
    <w:rsid w:val="009C74D6"/>
    <w:rsid w:val="009C754C"/>
    <w:rsid w:val="009C7A55"/>
    <w:rsid w:val="009C7C0C"/>
    <w:rsid w:val="009D0330"/>
    <w:rsid w:val="009D5D22"/>
    <w:rsid w:val="009E375E"/>
    <w:rsid w:val="009E448A"/>
    <w:rsid w:val="009F06CA"/>
    <w:rsid w:val="009F20DB"/>
    <w:rsid w:val="009F2E8B"/>
    <w:rsid w:val="009F6962"/>
    <w:rsid w:val="00A02CED"/>
    <w:rsid w:val="00A033EE"/>
    <w:rsid w:val="00A03564"/>
    <w:rsid w:val="00A037C6"/>
    <w:rsid w:val="00A06FFA"/>
    <w:rsid w:val="00A13E4A"/>
    <w:rsid w:val="00A20F0D"/>
    <w:rsid w:val="00A22B86"/>
    <w:rsid w:val="00A2489E"/>
    <w:rsid w:val="00A262DC"/>
    <w:rsid w:val="00A3000D"/>
    <w:rsid w:val="00A3123C"/>
    <w:rsid w:val="00A37E6D"/>
    <w:rsid w:val="00A402B9"/>
    <w:rsid w:val="00A44E74"/>
    <w:rsid w:val="00A47072"/>
    <w:rsid w:val="00A504EC"/>
    <w:rsid w:val="00A50609"/>
    <w:rsid w:val="00A5102C"/>
    <w:rsid w:val="00A5176B"/>
    <w:rsid w:val="00A51D85"/>
    <w:rsid w:val="00A52DA5"/>
    <w:rsid w:val="00A52FFA"/>
    <w:rsid w:val="00A534A6"/>
    <w:rsid w:val="00A5609D"/>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5843"/>
    <w:rsid w:val="00AA6E73"/>
    <w:rsid w:val="00AB43E5"/>
    <w:rsid w:val="00AC010A"/>
    <w:rsid w:val="00AC1921"/>
    <w:rsid w:val="00AC7E6F"/>
    <w:rsid w:val="00AD038B"/>
    <w:rsid w:val="00AD1FB5"/>
    <w:rsid w:val="00AD41FF"/>
    <w:rsid w:val="00AD6C58"/>
    <w:rsid w:val="00AD74EC"/>
    <w:rsid w:val="00AE20CC"/>
    <w:rsid w:val="00AE40B5"/>
    <w:rsid w:val="00AF42AA"/>
    <w:rsid w:val="00AF480C"/>
    <w:rsid w:val="00AF7D4F"/>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0E4B"/>
    <w:rsid w:val="00B51D8B"/>
    <w:rsid w:val="00B54F4E"/>
    <w:rsid w:val="00B56EF0"/>
    <w:rsid w:val="00B61AE2"/>
    <w:rsid w:val="00B66573"/>
    <w:rsid w:val="00B6690A"/>
    <w:rsid w:val="00B67314"/>
    <w:rsid w:val="00B8361F"/>
    <w:rsid w:val="00B84043"/>
    <w:rsid w:val="00B8501E"/>
    <w:rsid w:val="00B911CF"/>
    <w:rsid w:val="00B92945"/>
    <w:rsid w:val="00B945A9"/>
    <w:rsid w:val="00B94DAE"/>
    <w:rsid w:val="00B9589D"/>
    <w:rsid w:val="00BA04FB"/>
    <w:rsid w:val="00BA19ED"/>
    <w:rsid w:val="00BA1C03"/>
    <w:rsid w:val="00BA2BD7"/>
    <w:rsid w:val="00BB3607"/>
    <w:rsid w:val="00BB741C"/>
    <w:rsid w:val="00BC1F54"/>
    <w:rsid w:val="00BC356F"/>
    <w:rsid w:val="00BD0BC8"/>
    <w:rsid w:val="00BD2843"/>
    <w:rsid w:val="00BD2B26"/>
    <w:rsid w:val="00BD5EAF"/>
    <w:rsid w:val="00BE5C1A"/>
    <w:rsid w:val="00BE7ED0"/>
    <w:rsid w:val="00BF09CC"/>
    <w:rsid w:val="00BF2A75"/>
    <w:rsid w:val="00C05458"/>
    <w:rsid w:val="00C10188"/>
    <w:rsid w:val="00C17CED"/>
    <w:rsid w:val="00C20CC2"/>
    <w:rsid w:val="00C279D5"/>
    <w:rsid w:val="00C351B8"/>
    <w:rsid w:val="00C40959"/>
    <w:rsid w:val="00C437CE"/>
    <w:rsid w:val="00C43E68"/>
    <w:rsid w:val="00C45A4C"/>
    <w:rsid w:val="00C500C5"/>
    <w:rsid w:val="00C537A3"/>
    <w:rsid w:val="00C5688B"/>
    <w:rsid w:val="00C63D8C"/>
    <w:rsid w:val="00C645F4"/>
    <w:rsid w:val="00C70245"/>
    <w:rsid w:val="00C71265"/>
    <w:rsid w:val="00C7439C"/>
    <w:rsid w:val="00C834CE"/>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3D09"/>
    <w:rsid w:val="00CE5015"/>
    <w:rsid w:val="00CF06BD"/>
    <w:rsid w:val="00CF12AC"/>
    <w:rsid w:val="00CF2554"/>
    <w:rsid w:val="00CF4A4B"/>
    <w:rsid w:val="00CF4A78"/>
    <w:rsid w:val="00CF5234"/>
    <w:rsid w:val="00CF7932"/>
    <w:rsid w:val="00D01595"/>
    <w:rsid w:val="00D10313"/>
    <w:rsid w:val="00D10A7D"/>
    <w:rsid w:val="00D124AD"/>
    <w:rsid w:val="00D23260"/>
    <w:rsid w:val="00D261A7"/>
    <w:rsid w:val="00D35686"/>
    <w:rsid w:val="00D4081F"/>
    <w:rsid w:val="00D464D9"/>
    <w:rsid w:val="00D471E2"/>
    <w:rsid w:val="00D54A29"/>
    <w:rsid w:val="00D564BF"/>
    <w:rsid w:val="00D70405"/>
    <w:rsid w:val="00D72A57"/>
    <w:rsid w:val="00D75A8B"/>
    <w:rsid w:val="00D7777E"/>
    <w:rsid w:val="00D77D60"/>
    <w:rsid w:val="00D8068E"/>
    <w:rsid w:val="00D834C3"/>
    <w:rsid w:val="00D84800"/>
    <w:rsid w:val="00D87188"/>
    <w:rsid w:val="00D979C7"/>
    <w:rsid w:val="00DA27A8"/>
    <w:rsid w:val="00DA43EB"/>
    <w:rsid w:val="00DA4966"/>
    <w:rsid w:val="00DA70D9"/>
    <w:rsid w:val="00DA7234"/>
    <w:rsid w:val="00DB03EF"/>
    <w:rsid w:val="00DD1842"/>
    <w:rsid w:val="00DD18C5"/>
    <w:rsid w:val="00DD2023"/>
    <w:rsid w:val="00DD261B"/>
    <w:rsid w:val="00DD39BA"/>
    <w:rsid w:val="00DD42A4"/>
    <w:rsid w:val="00DD5276"/>
    <w:rsid w:val="00DE2880"/>
    <w:rsid w:val="00DE5AA0"/>
    <w:rsid w:val="00DE632D"/>
    <w:rsid w:val="00DE7025"/>
    <w:rsid w:val="00DE7510"/>
    <w:rsid w:val="00DF083B"/>
    <w:rsid w:val="00DF3657"/>
    <w:rsid w:val="00DF4A9A"/>
    <w:rsid w:val="00DF5ACA"/>
    <w:rsid w:val="00E041C8"/>
    <w:rsid w:val="00E06AE9"/>
    <w:rsid w:val="00E13FF1"/>
    <w:rsid w:val="00E21D22"/>
    <w:rsid w:val="00E235A7"/>
    <w:rsid w:val="00E27071"/>
    <w:rsid w:val="00E277BA"/>
    <w:rsid w:val="00E3345B"/>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B5C1C"/>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5A20"/>
    <w:rsid w:val="00F61BC9"/>
    <w:rsid w:val="00F630C4"/>
    <w:rsid w:val="00F633C4"/>
    <w:rsid w:val="00F7288A"/>
    <w:rsid w:val="00F74E4F"/>
    <w:rsid w:val="00F772A6"/>
    <w:rsid w:val="00F84EC8"/>
    <w:rsid w:val="00F9549B"/>
    <w:rsid w:val="00FA02BD"/>
    <w:rsid w:val="00FA0A2F"/>
    <w:rsid w:val="00FA19AC"/>
    <w:rsid w:val="00FA3D93"/>
    <w:rsid w:val="00FA4FDE"/>
    <w:rsid w:val="00FB0CB6"/>
    <w:rsid w:val="00FB417E"/>
    <w:rsid w:val="00FC42F7"/>
    <w:rsid w:val="00FC50B8"/>
    <w:rsid w:val="00FC598F"/>
    <w:rsid w:val="00FC7446"/>
    <w:rsid w:val="00FD0F26"/>
    <w:rsid w:val="00FD2691"/>
    <w:rsid w:val="00FD2A14"/>
    <w:rsid w:val="00FD311A"/>
    <w:rsid w:val="00FD3927"/>
    <w:rsid w:val="00FD436E"/>
    <w:rsid w:val="00FD48FB"/>
    <w:rsid w:val="00FE1859"/>
    <w:rsid w:val="00FE4204"/>
    <w:rsid w:val="00FE4D7E"/>
    <w:rsid w:val="00FF1372"/>
    <w:rsid w:val="00FF155E"/>
    <w:rsid w:val="00FF2EA3"/>
    <w:rsid w:val="00FF39DA"/>
    <w:rsid w:val="00FF468F"/>
    <w:rsid w:val="00FF4BD1"/>
    <w:rsid w:val="00FF51FB"/>
    <w:rsid w:val="00FF52E8"/>
    <w:rsid w:val="00FF5F14"/>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fr-FR"/>
    </w:rPr>
  </w:style>
  <w:style w:type="character" w:styleId="NichtaufgelsteErwhnung">
    <w:name w:val="Unresolved Mention"/>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 w:type="paragraph" w:customStyle="1" w:styleId="Default">
    <w:name w:val="Default"/>
    <w:rsid w:val="00200E66"/>
    <w:pPr>
      <w:autoSpaceDE w:val="0"/>
      <w:autoSpaceDN w:val="0"/>
      <w:adjustRightInd w:val="0"/>
    </w:pPr>
    <w:rPr>
      <w:rFonts w:ascii="Titillium Web" w:hAnsi="Titillium Web" w:cs="Titillium We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support/knowledge/application-notes?d=anp126-spannungsspezifikation-fuer-verpresste-induktivitaeten" TargetMode="Externa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k.htcm.de/press-releases/wuert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online.com/en/components/products/WE-LHMI?aja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we-online.com/en/components/products/WE-XHMI" TargetMode="External"/><Relationship Id="rId4" Type="http://schemas.openxmlformats.org/officeDocument/2006/relationships/settings" Target="settings.xml"/><Relationship Id="rId9" Type="http://schemas.openxmlformats.org/officeDocument/2006/relationships/hyperlink" Target="https://www.we-online.com/en/components/products/WE-MAPI"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C9B2A-404F-4E85-807F-A2D4CB95D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843</Words>
  <Characters>5596</Characters>
  <DocSecurity>0</DocSecurity>
  <Lines>46</Lines>
  <Paragraphs>12</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6427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2024-07-15T14:11:00Z</dcterms:created>
  <dcterms:modified xsi:type="dcterms:W3CDTF">2024-07-16T07:22:00Z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