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1A2FC021" w:rsidR="00B4555A" w:rsidRPr="0005684C" w:rsidRDefault="001608E0" w:rsidP="00B4555A">
      <w:pPr>
        <w:pStyle w:val="berschrift1"/>
        <w:spacing w:before="720" w:after="720" w:line="260" w:lineRule="exact"/>
        <w:rPr>
          <w:sz w:val="20"/>
        </w:rPr>
      </w:pPr>
      <w:r>
        <w:rPr>
          <w:sz w:val="20"/>
        </w:rPr>
        <w:t>COMMUNIQU</w:t>
      </w:r>
      <w:r w:rsidR="00B4555A">
        <w:rPr>
          <w:sz w:val="20"/>
        </w:rPr>
        <w:t>É</w:t>
      </w:r>
      <w:r>
        <w:rPr>
          <w:sz w:val="20"/>
        </w:rPr>
        <w:t xml:space="preserve"> DE PRESSE</w:t>
      </w:r>
    </w:p>
    <w:p w14:paraId="59879415" w14:textId="7B68662F" w:rsidR="00485E6F" w:rsidRPr="0005684C" w:rsidRDefault="0005684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publie son ouvrage de référence sur les convertisseurs DC/DC </w:t>
      </w:r>
    </w:p>
    <w:p w14:paraId="4148C797" w14:textId="4B5EFA94" w:rsidR="00485E6F" w:rsidRPr="0005684C" w:rsidRDefault="0005684C"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Conception d’alimentations sans surprise en matière de CEM</w:t>
      </w:r>
    </w:p>
    <w:p w14:paraId="0EC0D7A6" w14:textId="532C83B5" w:rsidR="00324E0C" w:rsidRDefault="00485E6F" w:rsidP="0005684C">
      <w:pPr>
        <w:pStyle w:val="Textkrper"/>
        <w:spacing w:before="120" w:after="120" w:line="260" w:lineRule="exact"/>
        <w:jc w:val="both"/>
        <w:rPr>
          <w:rFonts w:ascii="Arial" w:hAnsi="Arial"/>
          <w:color w:val="000000"/>
        </w:rPr>
      </w:pPr>
      <w:r>
        <w:rPr>
          <w:rFonts w:ascii="Arial" w:hAnsi="Arial"/>
          <w:color w:val="000000"/>
        </w:rPr>
        <w:t>Waldenburg</w:t>
      </w:r>
      <w:r w:rsidR="008F7E4A">
        <w:rPr>
          <w:rFonts w:ascii="Arial" w:hAnsi="Arial"/>
          <w:color w:val="000000"/>
        </w:rPr>
        <w:t xml:space="preserve"> (Allemagne)</w:t>
      </w:r>
      <w:r>
        <w:rPr>
          <w:rFonts w:ascii="Arial" w:hAnsi="Arial"/>
          <w:color w:val="000000"/>
        </w:rPr>
        <w:t xml:space="preserve">, </w:t>
      </w:r>
      <w:r w:rsidR="00742A8B">
        <w:rPr>
          <w:rFonts w:ascii="Arial" w:hAnsi="Arial"/>
          <w:color w:val="000000"/>
        </w:rPr>
        <w:t>le 16 mai</w:t>
      </w:r>
      <w:r>
        <w:rPr>
          <w:rFonts w:ascii="Arial" w:hAnsi="Arial"/>
          <w:color w:val="000000"/>
        </w:rPr>
        <w:t xml:space="preserve"> 2024 – Würth Elektronik lance un nouvel ouvrage de référence pour les développeurs : « DC/DC Converter Handbook – SMPS topologies from an EMC point of view » (Manuel des convertisseurs DC/DC - Topologies SMPS du point de vue de la CEM). Il a été dévoilé lors de la prestigieuse conférence sur l’électronique de puissance APEC 2024 (IEEE Applied Power Electronics Conference and Exposition) qui s’est tenue en Californie à la fin du mois de février. Il est désormais disponible en version imprimée et paraîtra également sous forme de livre électronique à partir du mois de mai.</w:t>
      </w:r>
    </w:p>
    <w:p w14:paraId="5511704A" w14:textId="1EF86598" w:rsidR="00DA78FB" w:rsidRPr="0005684C" w:rsidRDefault="00324E0C" w:rsidP="00DA78FB">
      <w:pPr>
        <w:pStyle w:val="Textkrper"/>
        <w:spacing w:before="120" w:after="120" w:line="260" w:lineRule="exact"/>
        <w:jc w:val="both"/>
        <w:rPr>
          <w:rFonts w:ascii="Arial" w:hAnsi="Arial"/>
          <w:b w:val="0"/>
          <w:bCs w:val="0"/>
        </w:rPr>
      </w:pPr>
      <w:r>
        <w:rPr>
          <w:rFonts w:ascii="Arial" w:hAnsi="Arial"/>
          <w:b w:val="0"/>
        </w:rPr>
        <w:t>Écrit par Andreas Nadler, Steffen Schulze, Raphael Specht et Markus Thoss, le livre fournit une vue d’ensemble compacte des principales topologies de convertisseurs DC/DC : convertisseurs buck et boost, ainsi que convertisseurs SEPIC et flyback. Il contient des exemples de schémas de circuit et des conseils pour sélectionner les selfs de stockage, les condensateurs et les composants de filtrage, ainsi que pour dimensionner et sélectionner les composants appropriés pour chaque topologie. Les sources d’interférence CEM sont clairement détaillées. Les spectres d’interférence sont calculés pour les quatre topologies de régulateurs à découpage les plus courantes et la conception du filtre qui en résulte est présentée en détail.</w:t>
      </w:r>
    </w:p>
    <w:p w14:paraId="3EB59E85" w14:textId="48D82030" w:rsidR="00DA78FB" w:rsidRDefault="008251FC" w:rsidP="00DA78FB">
      <w:pPr>
        <w:pStyle w:val="Textkrper"/>
        <w:spacing w:before="120" w:after="120" w:line="260" w:lineRule="exact"/>
        <w:jc w:val="both"/>
        <w:rPr>
          <w:rFonts w:ascii="Arial" w:hAnsi="Arial"/>
          <w:b w:val="0"/>
          <w:bCs w:val="0"/>
        </w:rPr>
      </w:pPr>
      <w:r>
        <w:rPr>
          <w:rFonts w:ascii="Arial" w:hAnsi="Arial"/>
          <w:b w:val="0"/>
        </w:rPr>
        <w:t xml:space="preserve">Le manuel de Würth Elektronik offre une assistance </w:t>
      </w:r>
      <w:r w:rsidR="00E54A05">
        <w:rPr>
          <w:rFonts w:ascii="Arial" w:hAnsi="Arial"/>
          <w:b w:val="0"/>
        </w:rPr>
        <w:t>simple</w:t>
      </w:r>
      <w:r>
        <w:rPr>
          <w:rFonts w:ascii="Arial" w:hAnsi="Arial"/>
          <w:b w:val="0"/>
        </w:rPr>
        <w:t xml:space="preserve"> pour les conceptions de convertisseurs DC/DC avec sa plate-forme de simulation en ligne REDEXPERT. L’estimation des interférences conduites pendant la phase de conception permet d’éviter les mauvaises surprises dans le laboratoire CEM.</w:t>
      </w:r>
    </w:p>
    <w:p w14:paraId="4DF22CF8" w14:textId="02FDFCEB" w:rsidR="00C61148" w:rsidRPr="00A1319F" w:rsidRDefault="00C61148" w:rsidP="00C61148">
      <w:pPr>
        <w:pStyle w:val="Textkrper"/>
        <w:spacing w:before="120" w:after="120" w:line="260" w:lineRule="exact"/>
        <w:rPr>
          <w:rFonts w:ascii="Arial" w:hAnsi="Arial"/>
          <w:b w:val="0"/>
          <w:bCs w:val="0"/>
        </w:rPr>
      </w:pPr>
      <w:r>
        <w:rPr>
          <w:rFonts w:ascii="Arial" w:hAnsi="Arial"/>
          <w:b w:val="0"/>
        </w:rPr>
        <w:t xml:space="preserve">Le manuel peut être commandé à l’adresse </w:t>
      </w:r>
      <w:hyperlink r:id="rId8" w:tgtFrame="_blank" w:tooltip="https://www.we-online.com/dcdc-converter-handbook" w:history="1">
        <w:r>
          <w:rPr>
            <w:rStyle w:val="Hyperlink"/>
            <w:rFonts w:ascii="Arial" w:hAnsi="Arial"/>
            <w:b w:val="0"/>
          </w:rPr>
          <w:t>www.we-online.com/dcdc-converter-handbook</w:t>
        </w:r>
      </w:hyperlink>
      <w:r>
        <w:rPr>
          <w:rStyle w:val="ui-provider"/>
          <w:rFonts w:ascii="Arial" w:hAnsi="Arial"/>
          <w:b w:val="0"/>
        </w:rPr>
        <w:t xml:space="preserve"> </w:t>
      </w:r>
      <w:r>
        <w:rPr>
          <w:rFonts w:ascii="Arial" w:hAnsi="Arial"/>
          <w:b w:val="0"/>
        </w:rPr>
        <w:t>au prix de 14,89 €.</w:t>
      </w:r>
    </w:p>
    <w:p w14:paraId="23E3B19C" w14:textId="77777777" w:rsidR="00C61148" w:rsidRDefault="00C61148" w:rsidP="00C61148">
      <w:pPr>
        <w:pStyle w:val="Textkrper"/>
        <w:spacing w:before="120" w:after="120" w:line="260" w:lineRule="exact"/>
        <w:rPr>
          <w:rFonts w:ascii="Arial" w:hAnsi="Arial"/>
          <w:b w:val="0"/>
          <w:bCs w:val="0"/>
        </w:rPr>
      </w:pPr>
    </w:p>
    <w:p w14:paraId="66318644" w14:textId="610CFC9A" w:rsidR="00C61148" w:rsidRPr="00C61148" w:rsidRDefault="00C61148" w:rsidP="00C61148">
      <w:pPr>
        <w:pStyle w:val="Textkrper"/>
        <w:spacing w:before="120" w:after="120" w:line="260" w:lineRule="exact"/>
        <w:rPr>
          <w:rFonts w:ascii="Arial" w:hAnsi="Arial"/>
          <w:b w:val="0"/>
          <w:bCs w:val="0"/>
        </w:rPr>
      </w:pPr>
      <w:r>
        <w:rPr>
          <w:rFonts w:ascii="Arial" w:hAnsi="Arial"/>
          <w:b w:val="0"/>
        </w:rPr>
        <w:t>Manuel de référence « DC/DC Converter Handbook » (en anglais) :</w:t>
      </w:r>
    </w:p>
    <w:p w14:paraId="4F6C554A" w14:textId="41B88598" w:rsidR="00C61148" w:rsidRDefault="00C61148" w:rsidP="00C61148">
      <w:pPr>
        <w:pStyle w:val="Textkrper"/>
        <w:spacing w:before="120" w:after="120" w:line="260" w:lineRule="exact"/>
        <w:rPr>
          <w:rFonts w:ascii="Arial" w:hAnsi="Arial"/>
          <w:b w:val="0"/>
          <w:bCs w:val="0"/>
        </w:rPr>
      </w:pPr>
      <w:r>
        <w:rPr>
          <w:rFonts w:ascii="Arial" w:hAnsi="Arial"/>
          <w:b w:val="0"/>
        </w:rPr>
        <w:t>SMPS topologies from an EMC point of view, 1</w:t>
      </w:r>
      <w:r>
        <w:rPr>
          <w:rFonts w:ascii="Arial" w:hAnsi="Arial"/>
          <w:b w:val="0"/>
          <w:vertAlign w:val="superscript"/>
        </w:rPr>
        <w:t>re</w:t>
      </w:r>
      <w:r>
        <w:rPr>
          <w:rFonts w:ascii="Arial" w:hAnsi="Arial"/>
          <w:b w:val="0"/>
        </w:rPr>
        <w:t xml:space="preserve"> édition, référence 9999669</w:t>
      </w:r>
    </w:p>
    <w:p w14:paraId="2FA5C4C6" w14:textId="057AB487" w:rsidR="00C61148" w:rsidRDefault="00C61148" w:rsidP="00C61148">
      <w:pPr>
        <w:pStyle w:val="Textkrper"/>
        <w:spacing w:before="120" w:after="120" w:line="260" w:lineRule="exact"/>
        <w:rPr>
          <w:rFonts w:ascii="Arial" w:hAnsi="Arial"/>
          <w:b w:val="0"/>
          <w:bCs w:val="0"/>
        </w:rPr>
      </w:pPr>
      <w:r>
        <w:rPr>
          <w:rFonts w:ascii="Arial" w:hAnsi="Arial"/>
          <w:b w:val="0"/>
        </w:rPr>
        <w:t xml:space="preserve">ISBN 978-3-89929-454-5 (version imprimée) </w:t>
      </w:r>
    </w:p>
    <w:p w14:paraId="7653B424" w14:textId="3B1CE076" w:rsidR="00485E6F" w:rsidRDefault="00C61148" w:rsidP="00742A8B">
      <w:pPr>
        <w:pStyle w:val="Textkrper"/>
        <w:spacing w:before="120" w:after="120" w:line="260" w:lineRule="exact"/>
        <w:rPr>
          <w:rFonts w:ascii="Arial" w:hAnsi="Arial"/>
          <w:b w:val="0"/>
        </w:rPr>
      </w:pPr>
      <w:r>
        <w:rPr>
          <w:rFonts w:ascii="Arial" w:hAnsi="Arial"/>
          <w:b w:val="0"/>
        </w:rPr>
        <w:t>ISBN 978-3-89929-455-2 (version électronique)</w:t>
      </w:r>
    </w:p>
    <w:p w14:paraId="34F3DECC" w14:textId="77777777" w:rsidR="00742A8B" w:rsidRDefault="00742A8B" w:rsidP="00742A8B">
      <w:pPr>
        <w:pStyle w:val="Textkrper"/>
        <w:spacing w:before="120" w:after="120" w:line="260" w:lineRule="exact"/>
        <w:rPr>
          <w:rFonts w:ascii="Arial" w:hAnsi="Arial"/>
          <w:b w:val="0"/>
        </w:rPr>
      </w:pPr>
    </w:p>
    <w:p w14:paraId="4C82B467" w14:textId="77777777" w:rsidR="00742A8B" w:rsidRPr="0023476F" w:rsidRDefault="00742A8B" w:rsidP="00742A8B">
      <w:pPr>
        <w:pBdr>
          <w:bottom w:val="single" w:sz="6" w:space="1" w:color="auto"/>
        </w:pBdr>
        <w:spacing w:after="120" w:line="280" w:lineRule="exact"/>
        <w:jc w:val="both"/>
        <w:rPr>
          <w:rFonts w:ascii="Arial" w:hAnsi="Arial" w:cs="Arial"/>
          <w:sz w:val="20"/>
          <w:szCs w:val="20"/>
        </w:rPr>
      </w:pPr>
    </w:p>
    <w:p w14:paraId="4D4FC203" w14:textId="77777777" w:rsidR="00742A8B" w:rsidRPr="0023476F" w:rsidRDefault="00742A8B" w:rsidP="00742A8B">
      <w:pPr>
        <w:spacing w:after="120" w:line="280" w:lineRule="exact"/>
        <w:rPr>
          <w:rFonts w:ascii="Arial" w:hAnsi="Arial"/>
          <w:b/>
          <w:sz w:val="18"/>
        </w:rPr>
      </w:pPr>
    </w:p>
    <w:p w14:paraId="07D2CAD4" w14:textId="77777777" w:rsidR="00742A8B" w:rsidRPr="0023476F" w:rsidRDefault="00742A8B" w:rsidP="009376CF">
      <w:pPr>
        <w:spacing w:after="120" w:line="280" w:lineRule="exact"/>
        <w:rPr>
          <w:rFonts w:ascii="Arial" w:hAnsi="Arial" w:cs="Arial"/>
          <w:b/>
          <w:bCs/>
          <w:sz w:val="18"/>
          <w:szCs w:val="18"/>
        </w:rPr>
      </w:pPr>
      <w:r w:rsidRPr="0023476F">
        <w:rPr>
          <w:rFonts w:ascii="Arial" w:hAnsi="Arial"/>
          <w:b/>
          <w:sz w:val="18"/>
        </w:rPr>
        <w:t>Images disponibles</w:t>
      </w:r>
    </w:p>
    <w:p w14:paraId="388B8CF4" w14:textId="7BBFAC15" w:rsidR="00485E6F" w:rsidRDefault="00742A8B" w:rsidP="009376CF">
      <w:pPr>
        <w:pStyle w:val="PITextkrper"/>
        <w:jc w:val="left"/>
        <w:rPr>
          <w:b/>
          <w:bCs/>
          <w:sz w:val="18"/>
          <w:szCs w:val="18"/>
          <w:lang w:val="de-DE"/>
        </w:rPr>
      </w:pPr>
      <w:r w:rsidRPr="0023476F">
        <w:rPr>
          <w:sz w:val="18"/>
        </w:rPr>
        <w:t>Les images suivantes peuvent être téléchargées sur Internet pour impression :</w:t>
      </w:r>
      <w:r w:rsidRPr="0023476F">
        <w:t xml:space="preserve"> </w:t>
      </w:r>
      <w:hyperlink r:id="rId9" w:history="1">
        <w:r w:rsidRPr="0023476F">
          <w:rPr>
            <w:rStyle w:val="Hyperlink"/>
            <w:rFonts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376CF" w:rsidRPr="0005684C" w14:paraId="4177E643" w14:textId="77777777" w:rsidTr="008C22C2">
        <w:trPr>
          <w:trHeight w:val="1701"/>
        </w:trPr>
        <w:tc>
          <w:tcPr>
            <w:tcW w:w="3510" w:type="dxa"/>
          </w:tcPr>
          <w:p w14:paraId="1DF29355" w14:textId="77777777" w:rsidR="009376CF" w:rsidRDefault="009376CF" w:rsidP="008C22C2">
            <w:pPr>
              <w:pStyle w:val="txt"/>
              <w:rPr>
                <w:b/>
                <w:noProof/>
              </w:rPr>
            </w:pPr>
            <w:bookmarkStart w:id="0" w:name="_Hlk142468663"/>
            <w:r>
              <w:rPr>
                <w:noProof/>
              </w:rPr>
              <w:drawing>
                <wp:anchor distT="0" distB="0" distL="114300" distR="114300" simplePos="0" relativeHeight="251659264" behindDoc="0" locked="0" layoutInCell="1" allowOverlap="1" wp14:anchorId="5E567593" wp14:editId="35E96BC2">
                  <wp:simplePos x="0" y="0"/>
                  <wp:positionH relativeFrom="margin">
                    <wp:posOffset>28575</wp:posOffset>
                  </wp:positionH>
                  <wp:positionV relativeFrom="paragraph">
                    <wp:posOffset>95250</wp:posOffset>
                  </wp:positionV>
                  <wp:extent cx="2055095" cy="1620000"/>
                  <wp:effectExtent l="0" t="0" r="0" b="0"/>
                  <wp:wrapNone/>
                  <wp:docPr id="1303923798" name="Grafik 1" descr="Ein Bild, das Text, Screenshot, Multimedia,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23798" name="Grafik 1" descr="Ein Bild, das Text, Screenshot, Multimedia, Grafikdesign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0586" b="10586"/>
                          <a:stretch/>
                        </pic:blipFill>
                        <pic:spPr bwMode="auto">
                          <a:xfrm>
                            <a:off x="0" y="0"/>
                            <a:ext cx="2055095" cy="16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p>
          <w:p w14:paraId="7E0AD301" w14:textId="77777777" w:rsidR="009376CF" w:rsidRDefault="009376CF" w:rsidP="008C22C2">
            <w:pPr>
              <w:pStyle w:val="txt"/>
              <w:rPr>
                <w:b/>
                <w:noProof/>
              </w:rPr>
            </w:pPr>
          </w:p>
          <w:p w14:paraId="004DD73C" w14:textId="77777777" w:rsidR="009376CF" w:rsidRDefault="009376CF" w:rsidP="008C22C2">
            <w:pPr>
              <w:pStyle w:val="txt"/>
              <w:rPr>
                <w:b/>
                <w:noProof/>
              </w:rPr>
            </w:pPr>
          </w:p>
          <w:p w14:paraId="4546D4AA" w14:textId="77777777" w:rsidR="009376CF" w:rsidRDefault="009376CF" w:rsidP="008C22C2">
            <w:pPr>
              <w:pStyle w:val="txt"/>
              <w:rPr>
                <w:b/>
                <w:noProof/>
              </w:rPr>
            </w:pPr>
          </w:p>
          <w:p w14:paraId="49595C9E" w14:textId="77777777" w:rsidR="009376CF" w:rsidRDefault="009376CF" w:rsidP="008C22C2">
            <w:pPr>
              <w:pStyle w:val="txt"/>
              <w:rPr>
                <w:b/>
                <w:noProof/>
              </w:rPr>
            </w:pPr>
          </w:p>
          <w:p w14:paraId="1766E459" w14:textId="77777777" w:rsidR="009376CF" w:rsidRPr="0005684C" w:rsidRDefault="009376CF" w:rsidP="009376CF">
            <w:pPr>
              <w:pStyle w:val="txt"/>
              <w:rPr>
                <w:b/>
                <w:bCs/>
                <w:sz w:val="18"/>
              </w:rPr>
            </w:pPr>
            <w:r>
              <w:rPr>
                <w:sz w:val="16"/>
              </w:rPr>
              <w:t>Source photo : Würth Elektronik</w:t>
            </w:r>
          </w:p>
          <w:p w14:paraId="6152E320" w14:textId="77777777" w:rsidR="009376CF" w:rsidRPr="0005684C" w:rsidRDefault="009376CF" w:rsidP="009376CF">
            <w:pPr>
              <w:autoSpaceDE w:val="0"/>
              <w:autoSpaceDN w:val="0"/>
              <w:adjustRightInd w:val="0"/>
              <w:rPr>
                <w:rFonts w:ascii="Arial" w:hAnsi="Arial" w:cs="Arial"/>
                <w:b/>
                <w:sz w:val="18"/>
                <w:szCs w:val="18"/>
              </w:rPr>
            </w:pPr>
            <w:r>
              <w:rPr>
                <w:rFonts w:ascii="Arial" w:hAnsi="Arial"/>
                <w:b/>
                <w:sz w:val="18"/>
              </w:rPr>
              <w:t xml:space="preserve">Würth Elektronik partage son expertise : DC/DC Converter Handbook (Manuel des convertisseurs DC/DC) </w:t>
            </w:r>
          </w:p>
          <w:p w14:paraId="023EE22F" w14:textId="77777777" w:rsidR="009376CF" w:rsidRPr="0005684C" w:rsidRDefault="009376CF" w:rsidP="008C22C2">
            <w:pPr>
              <w:autoSpaceDE w:val="0"/>
              <w:autoSpaceDN w:val="0"/>
              <w:adjustRightInd w:val="0"/>
              <w:rPr>
                <w:rFonts w:ascii="Arial" w:hAnsi="Arial" w:cs="Arial"/>
                <w:b/>
                <w:bCs/>
                <w:sz w:val="18"/>
                <w:szCs w:val="18"/>
              </w:rPr>
            </w:pPr>
          </w:p>
        </w:tc>
      </w:tr>
    </w:tbl>
    <w:p w14:paraId="2FC9733B" w14:textId="77777777" w:rsidR="009376CF" w:rsidRPr="0005684C" w:rsidRDefault="009376CF" w:rsidP="009376CF">
      <w:pPr>
        <w:pStyle w:val="PITextkrper"/>
        <w:rPr>
          <w:b/>
          <w:bCs/>
          <w:sz w:val="18"/>
          <w:szCs w:val="18"/>
          <w:lang w:val="de-DE"/>
        </w:rPr>
      </w:pPr>
    </w:p>
    <w:p w14:paraId="0231E0E5" w14:textId="77777777" w:rsidR="009376CF" w:rsidRPr="0023476F" w:rsidRDefault="009376CF" w:rsidP="00742A8B">
      <w:pPr>
        <w:pStyle w:val="Textkrper"/>
        <w:spacing w:before="120" w:after="120" w:line="260" w:lineRule="exact"/>
        <w:jc w:val="both"/>
        <w:rPr>
          <w:rFonts w:ascii="Arial" w:hAnsi="Arial"/>
          <w:b w:val="0"/>
          <w:bCs w:val="0"/>
        </w:rPr>
      </w:pPr>
    </w:p>
    <w:p w14:paraId="52AC296C" w14:textId="77777777" w:rsidR="00742A8B" w:rsidRPr="0023476F" w:rsidRDefault="00742A8B" w:rsidP="00742A8B">
      <w:pPr>
        <w:pStyle w:val="PITextkrper"/>
        <w:pBdr>
          <w:top w:val="single" w:sz="4" w:space="1" w:color="auto"/>
        </w:pBdr>
        <w:spacing w:before="240"/>
        <w:rPr>
          <w:b/>
          <w:sz w:val="18"/>
          <w:szCs w:val="18"/>
        </w:rPr>
      </w:pPr>
    </w:p>
    <w:p w14:paraId="31BDE502" w14:textId="77777777" w:rsidR="00742A8B" w:rsidRPr="0023476F" w:rsidRDefault="00742A8B" w:rsidP="00742A8B">
      <w:pPr>
        <w:pStyle w:val="Textkrper"/>
        <w:spacing w:before="120" w:after="120" w:line="276" w:lineRule="auto"/>
        <w:rPr>
          <w:rFonts w:ascii="Arial" w:hAnsi="Arial"/>
        </w:rPr>
      </w:pPr>
      <w:r w:rsidRPr="0023476F">
        <w:rPr>
          <w:rFonts w:ascii="Arial" w:hAnsi="Arial"/>
        </w:rPr>
        <w:t xml:space="preserve">À propos du groupe Würth Elektronik eiSos </w:t>
      </w:r>
    </w:p>
    <w:p w14:paraId="5D075039" w14:textId="77777777" w:rsidR="00742A8B" w:rsidRPr="0023476F" w:rsidRDefault="00742A8B" w:rsidP="00742A8B">
      <w:pPr>
        <w:pStyle w:val="Textkrper"/>
        <w:spacing w:before="120" w:after="120" w:line="276" w:lineRule="auto"/>
        <w:jc w:val="both"/>
        <w:rPr>
          <w:rFonts w:ascii="Arial" w:hAnsi="Arial"/>
          <w:b w:val="0"/>
        </w:rPr>
      </w:pPr>
      <w:bookmarkStart w:id="1"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7C9D7405" w14:textId="77777777" w:rsidR="00742A8B" w:rsidRDefault="00742A8B" w:rsidP="00742A8B">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3F78D170" w14:textId="583742EC" w:rsidR="009376CF" w:rsidRDefault="00742A8B" w:rsidP="00742A8B">
      <w:pPr>
        <w:pStyle w:val="Textkrper"/>
        <w:spacing w:before="120" w:after="120" w:line="276" w:lineRule="auto"/>
        <w:jc w:val="both"/>
        <w:rPr>
          <w:rFonts w:ascii="Arial" w:hAnsi="Arial"/>
          <w:b w:val="0"/>
        </w:rPr>
      </w:pPr>
      <w:r w:rsidRPr="0023476F">
        <w:rPr>
          <w:rFonts w:ascii="Arial" w:hAnsi="Arial"/>
          <w:b w:val="0"/>
        </w:rPr>
        <w:t>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w:t>
      </w:r>
      <w:r>
        <w:rPr>
          <w:rFonts w:ascii="Arial" w:hAnsi="Arial"/>
          <w:b w:val="0"/>
        </w:rPr>
        <w:t xml:space="preserve"> </w:t>
      </w:r>
    </w:p>
    <w:p w14:paraId="5B0F3911" w14:textId="77777777" w:rsidR="009376CF" w:rsidRDefault="009376CF">
      <w:pPr>
        <w:rPr>
          <w:rFonts w:ascii="Arial" w:hAnsi="Arial" w:cs="Arial"/>
          <w:bCs/>
          <w:sz w:val="20"/>
          <w:szCs w:val="20"/>
        </w:rPr>
      </w:pPr>
      <w:r>
        <w:rPr>
          <w:rFonts w:ascii="Arial" w:hAnsi="Arial"/>
          <w:b/>
        </w:rPr>
        <w:br w:type="page"/>
      </w:r>
    </w:p>
    <w:p w14:paraId="06006535" w14:textId="77777777" w:rsidR="00742A8B" w:rsidRDefault="00742A8B" w:rsidP="00742A8B">
      <w:pPr>
        <w:pStyle w:val="Textkrper"/>
        <w:spacing w:before="120" w:after="120" w:line="276" w:lineRule="auto"/>
        <w:jc w:val="both"/>
        <w:rPr>
          <w:rFonts w:ascii="Arial" w:hAnsi="Arial"/>
          <w:b w:val="0"/>
        </w:rPr>
      </w:pPr>
    </w:p>
    <w:p w14:paraId="190785A4" w14:textId="77777777" w:rsidR="00742A8B" w:rsidRPr="0023476F" w:rsidRDefault="00742A8B" w:rsidP="00742A8B">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509E90C9" w14:textId="77777777" w:rsidR="00742A8B" w:rsidRPr="0023476F" w:rsidRDefault="00742A8B" w:rsidP="00742A8B">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E254F4D" w14:textId="77777777" w:rsidR="00742A8B" w:rsidRPr="0023476F" w:rsidRDefault="00742A8B" w:rsidP="00742A8B">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42A8B" w:rsidRPr="0023476F" w14:paraId="66897961" w14:textId="77777777" w:rsidTr="00D83B4F">
        <w:tc>
          <w:tcPr>
            <w:tcW w:w="3902" w:type="dxa"/>
            <w:shd w:val="clear" w:color="auto" w:fill="auto"/>
            <w:hideMark/>
          </w:tcPr>
          <w:p w14:paraId="28602679" w14:textId="77777777" w:rsidR="00742A8B" w:rsidRPr="0023476F" w:rsidRDefault="00742A8B" w:rsidP="00D83B4F">
            <w:pPr>
              <w:pStyle w:val="Textkrper"/>
              <w:autoSpaceDE/>
              <w:adjustRightInd/>
              <w:spacing w:before="120" w:after="120" w:line="276" w:lineRule="auto"/>
              <w:rPr>
                <w:b w:val="0"/>
                <w:bCs w:val="0"/>
              </w:rPr>
            </w:pPr>
            <w:r w:rsidRPr="0023476F">
              <w:br w:type="page"/>
            </w:r>
            <w:r w:rsidRPr="0023476F">
              <w:rPr>
                <w:b w:val="0"/>
                <w:bCs w:val="0"/>
              </w:rPr>
              <w:br w:type="page"/>
            </w:r>
          </w:p>
          <w:p w14:paraId="0BB0C035" w14:textId="77777777" w:rsidR="00742A8B" w:rsidRPr="0023476F" w:rsidRDefault="00742A8B" w:rsidP="00D83B4F">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16CA7956" w14:textId="77777777" w:rsidR="00742A8B" w:rsidRPr="0023476F" w:rsidRDefault="00742A8B" w:rsidP="00D83B4F">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709DA80A" w14:textId="77777777" w:rsidR="00742A8B" w:rsidRPr="0023476F" w:rsidRDefault="00742A8B" w:rsidP="00D83B4F">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6B4472A1" w14:textId="77777777" w:rsidR="00742A8B" w:rsidRPr="0023476F" w:rsidRDefault="00742A8B" w:rsidP="00D83B4F">
            <w:pPr>
              <w:spacing w:before="120" w:after="120" w:line="276" w:lineRule="auto"/>
              <w:rPr>
                <w:rFonts w:ascii="Arial" w:hAnsi="Arial" w:cs="Arial"/>
                <w:bCs/>
                <w:sz w:val="20"/>
              </w:rPr>
            </w:pPr>
            <w:r w:rsidRPr="0023476F">
              <w:rPr>
                <w:rFonts w:ascii="Arial" w:hAnsi="Arial" w:cs="Arial"/>
                <w:bCs/>
                <w:sz w:val="20"/>
              </w:rPr>
              <w:t>www.we-online.com</w:t>
            </w:r>
          </w:p>
          <w:p w14:paraId="3BEE7304" w14:textId="77777777" w:rsidR="00742A8B" w:rsidRPr="0023476F" w:rsidRDefault="00742A8B" w:rsidP="00D83B4F">
            <w:pPr>
              <w:rPr>
                <w:rFonts w:ascii="Arial" w:hAnsi="Arial" w:cs="Arial"/>
                <w:sz w:val="20"/>
              </w:rPr>
            </w:pPr>
          </w:p>
          <w:p w14:paraId="45BF22EA" w14:textId="77777777" w:rsidR="00742A8B" w:rsidRPr="0023476F" w:rsidRDefault="00742A8B" w:rsidP="00D83B4F">
            <w:pPr>
              <w:rPr>
                <w:rFonts w:ascii="Arial" w:hAnsi="Arial" w:cs="Arial"/>
                <w:sz w:val="20"/>
              </w:rPr>
            </w:pPr>
          </w:p>
        </w:tc>
        <w:tc>
          <w:tcPr>
            <w:tcW w:w="3193" w:type="dxa"/>
            <w:shd w:val="clear" w:color="auto" w:fill="auto"/>
            <w:hideMark/>
          </w:tcPr>
          <w:p w14:paraId="50AB4944" w14:textId="77777777" w:rsidR="00742A8B" w:rsidRPr="0023476F" w:rsidRDefault="00742A8B" w:rsidP="00D83B4F">
            <w:pPr>
              <w:pStyle w:val="Textkrper"/>
              <w:tabs>
                <w:tab w:val="left" w:pos="1065"/>
              </w:tabs>
              <w:autoSpaceDE/>
              <w:adjustRightInd/>
              <w:spacing w:before="120" w:after="120" w:line="276" w:lineRule="auto"/>
              <w:rPr>
                <w:rFonts w:ascii="Arial" w:hAnsi="Arial"/>
              </w:rPr>
            </w:pPr>
          </w:p>
          <w:p w14:paraId="5626A2DF" w14:textId="77777777" w:rsidR="00742A8B" w:rsidRPr="0023476F" w:rsidRDefault="00742A8B" w:rsidP="00D83B4F">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34337CE" w14:textId="77777777" w:rsidR="00742A8B" w:rsidRPr="0023476F" w:rsidRDefault="00742A8B" w:rsidP="00D83B4F">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64C097CD" w14:textId="77777777" w:rsidR="00742A8B" w:rsidRPr="0023476F" w:rsidRDefault="00742A8B" w:rsidP="00D83B4F">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B8C75A1" w14:textId="77777777" w:rsidR="00742A8B" w:rsidRPr="0023476F" w:rsidRDefault="00742A8B" w:rsidP="00D83B4F">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3DAAD7E0" w14:textId="77777777" w:rsidR="00742A8B" w:rsidRPr="0005684C" w:rsidRDefault="00742A8B" w:rsidP="00485E6F">
      <w:pPr>
        <w:pStyle w:val="PITextkrper"/>
        <w:rPr>
          <w:b/>
          <w:bCs/>
          <w:sz w:val="18"/>
          <w:szCs w:val="18"/>
          <w:lang w:val="de-DE"/>
        </w:rPr>
      </w:pPr>
    </w:p>
    <w:sectPr w:rsidR="00742A8B" w:rsidRPr="0005684C" w:rsidSect="008548D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4208F" w14:textId="77777777" w:rsidR="008548DD" w:rsidRDefault="008548DD">
      <w:r>
        <w:separator/>
      </w:r>
    </w:p>
  </w:endnote>
  <w:endnote w:type="continuationSeparator" w:id="0">
    <w:p w14:paraId="630C9531" w14:textId="77777777" w:rsidR="008548DD" w:rsidRDefault="0085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E9F21D6" w:rsidR="00D84800" w:rsidRPr="009B0790"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9B079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0150AD">
      <w:rPr>
        <w:rFonts w:ascii="Arial" w:hAnsi="Arial" w:cs="Arial"/>
        <w:noProof/>
        <w:snapToGrid w:val="0"/>
        <w:sz w:val="16"/>
      </w:rPr>
      <w:t>WTH1PI1448</w:t>
    </w:r>
    <w:r w:rsidR="00A00287">
      <w:rPr>
        <w:rFonts w:ascii="Arial" w:hAnsi="Arial" w:cs="Arial"/>
        <w:noProof/>
        <w:snapToGrid w:val="0"/>
        <w:sz w:val="16"/>
      </w:rPr>
      <w:t>_fr.</w:t>
    </w:r>
    <w:r w:rsidR="000150AD">
      <w:rPr>
        <w:rFonts w:ascii="Arial" w:hAnsi="Arial" w:cs="Arial"/>
        <w:noProof/>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5E1F0" w14:textId="77777777" w:rsidR="008548DD" w:rsidRDefault="008548DD">
      <w:r>
        <w:separator/>
      </w:r>
    </w:p>
  </w:footnote>
  <w:footnote w:type="continuationSeparator" w:id="0">
    <w:p w14:paraId="7E43818C" w14:textId="77777777" w:rsidR="008548DD" w:rsidRDefault="00854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0BC4FB2" w:rsidR="00AD41FF" w:rsidRDefault="00E31C4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679910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222874">
    <w:abstractNumId w:val="4"/>
  </w:num>
  <w:num w:numId="2" w16cid:durableId="1903370304">
    <w:abstractNumId w:val="1"/>
  </w:num>
  <w:num w:numId="3" w16cid:durableId="456143457">
    <w:abstractNumId w:val="2"/>
  </w:num>
  <w:num w:numId="4" w16cid:durableId="445656327">
    <w:abstractNumId w:val="3"/>
  </w:num>
  <w:num w:numId="5" w16cid:durableId="153704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50AD"/>
    <w:rsid w:val="000258D8"/>
    <w:rsid w:val="00030BF2"/>
    <w:rsid w:val="00031561"/>
    <w:rsid w:val="00035374"/>
    <w:rsid w:val="000374D6"/>
    <w:rsid w:val="0004197D"/>
    <w:rsid w:val="00041E84"/>
    <w:rsid w:val="00042E00"/>
    <w:rsid w:val="000457A0"/>
    <w:rsid w:val="00050684"/>
    <w:rsid w:val="00051D17"/>
    <w:rsid w:val="00053D8B"/>
    <w:rsid w:val="0005666E"/>
    <w:rsid w:val="0005684C"/>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08E0"/>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A8C"/>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522B"/>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4AD"/>
    <w:rsid w:val="00264572"/>
    <w:rsid w:val="00265445"/>
    <w:rsid w:val="00267ED9"/>
    <w:rsid w:val="00270832"/>
    <w:rsid w:val="00273BD3"/>
    <w:rsid w:val="00273C1C"/>
    <w:rsid w:val="0028487E"/>
    <w:rsid w:val="00285B8D"/>
    <w:rsid w:val="002872A3"/>
    <w:rsid w:val="00287AE5"/>
    <w:rsid w:val="00291C4C"/>
    <w:rsid w:val="00291EB7"/>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F3A"/>
    <w:rsid w:val="00304188"/>
    <w:rsid w:val="00307B15"/>
    <w:rsid w:val="003105E2"/>
    <w:rsid w:val="003154CD"/>
    <w:rsid w:val="003156CA"/>
    <w:rsid w:val="00320451"/>
    <w:rsid w:val="00320E03"/>
    <w:rsid w:val="00321F48"/>
    <w:rsid w:val="00324A6A"/>
    <w:rsid w:val="00324E0C"/>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1BB5"/>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23AA"/>
    <w:rsid w:val="00584F4C"/>
    <w:rsid w:val="00587F00"/>
    <w:rsid w:val="0059367F"/>
    <w:rsid w:val="005B3EBD"/>
    <w:rsid w:val="005C06DF"/>
    <w:rsid w:val="005C1020"/>
    <w:rsid w:val="005C1B52"/>
    <w:rsid w:val="005C61CB"/>
    <w:rsid w:val="005C6D6A"/>
    <w:rsid w:val="005D160B"/>
    <w:rsid w:val="005D7454"/>
    <w:rsid w:val="005E0638"/>
    <w:rsid w:val="005E1091"/>
    <w:rsid w:val="005E3FB6"/>
    <w:rsid w:val="005E6D53"/>
    <w:rsid w:val="005F73F8"/>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07583"/>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A8B"/>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251FC"/>
    <w:rsid w:val="00831C63"/>
    <w:rsid w:val="00832040"/>
    <w:rsid w:val="00834A7F"/>
    <w:rsid w:val="00837EBF"/>
    <w:rsid w:val="00840B24"/>
    <w:rsid w:val="008517BF"/>
    <w:rsid w:val="008523FC"/>
    <w:rsid w:val="0085304E"/>
    <w:rsid w:val="008536A9"/>
    <w:rsid w:val="008545C1"/>
    <w:rsid w:val="008548DD"/>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8F7E4A"/>
    <w:rsid w:val="00901011"/>
    <w:rsid w:val="009011CE"/>
    <w:rsid w:val="009055D1"/>
    <w:rsid w:val="00905705"/>
    <w:rsid w:val="00910367"/>
    <w:rsid w:val="00912D24"/>
    <w:rsid w:val="009136ED"/>
    <w:rsid w:val="0091400A"/>
    <w:rsid w:val="0091720A"/>
    <w:rsid w:val="00917A75"/>
    <w:rsid w:val="009207E3"/>
    <w:rsid w:val="00921D8B"/>
    <w:rsid w:val="009225F3"/>
    <w:rsid w:val="00923B94"/>
    <w:rsid w:val="00924525"/>
    <w:rsid w:val="00927E75"/>
    <w:rsid w:val="00930724"/>
    <w:rsid w:val="009310B2"/>
    <w:rsid w:val="00933172"/>
    <w:rsid w:val="00936CF9"/>
    <w:rsid w:val="009376CF"/>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790"/>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0287"/>
    <w:rsid w:val="00A02CED"/>
    <w:rsid w:val="00A03564"/>
    <w:rsid w:val="00A037C6"/>
    <w:rsid w:val="00A06FFA"/>
    <w:rsid w:val="00A1319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862C5"/>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5DC"/>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005"/>
    <w:rsid w:val="00C5688B"/>
    <w:rsid w:val="00C61148"/>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A78FB"/>
    <w:rsid w:val="00DB03EF"/>
    <w:rsid w:val="00DC4E03"/>
    <w:rsid w:val="00DD1842"/>
    <w:rsid w:val="00DD18C5"/>
    <w:rsid w:val="00DD2023"/>
    <w:rsid w:val="00DD261B"/>
    <w:rsid w:val="00DD39BA"/>
    <w:rsid w:val="00DD42A4"/>
    <w:rsid w:val="00DD5276"/>
    <w:rsid w:val="00DE03D1"/>
    <w:rsid w:val="00DE5AA0"/>
    <w:rsid w:val="00DE632D"/>
    <w:rsid w:val="00DE7025"/>
    <w:rsid w:val="00DF083B"/>
    <w:rsid w:val="00DF1FF2"/>
    <w:rsid w:val="00DF3657"/>
    <w:rsid w:val="00DF4A9A"/>
    <w:rsid w:val="00DF5ACA"/>
    <w:rsid w:val="00E041C8"/>
    <w:rsid w:val="00E06AE9"/>
    <w:rsid w:val="00E13FF1"/>
    <w:rsid w:val="00E21D22"/>
    <w:rsid w:val="00E235A7"/>
    <w:rsid w:val="00E27071"/>
    <w:rsid w:val="00E277BA"/>
    <w:rsid w:val="00E31C48"/>
    <w:rsid w:val="00E3345B"/>
    <w:rsid w:val="00E41C6B"/>
    <w:rsid w:val="00E4697E"/>
    <w:rsid w:val="00E47261"/>
    <w:rsid w:val="00E54A05"/>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51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ui-provider">
    <w:name w:val="ui-provider"/>
    <w:basedOn w:val="Absatz-Standardschriftart"/>
    <w:rsid w:val="00A1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28183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0737757">
      <w:bodyDiv w:val="1"/>
      <w:marLeft w:val="0"/>
      <w:marRight w:val="0"/>
      <w:marTop w:val="0"/>
      <w:marBottom w:val="0"/>
      <w:divBdr>
        <w:top w:val="none" w:sz="0" w:space="0" w:color="auto"/>
        <w:left w:val="none" w:sz="0" w:space="0" w:color="auto"/>
        <w:bottom w:val="none" w:sz="0" w:space="0" w:color="auto"/>
        <w:right w:val="none" w:sz="0" w:space="0" w:color="auto"/>
      </w:divBdr>
    </w:div>
    <w:div w:id="35862286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7557571">
      <w:bodyDiv w:val="1"/>
      <w:marLeft w:val="0"/>
      <w:marRight w:val="0"/>
      <w:marTop w:val="0"/>
      <w:marBottom w:val="0"/>
      <w:divBdr>
        <w:top w:val="none" w:sz="0" w:space="0" w:color="auto"/>
        <w:left w:val="none" w:sz="0" w:space="0" w:color="auto"/>
        <w:bottom w:val="none" w:sz="0" w:space="0" w:color="auto"/>
        <w:right w:val="none" w:sz="0" w:space="0" w:color="auto"/>
      </w:divBdr>
    </w:div>
    <w:div w:id="1131091340">
      <w:bodyDiv w:val="1"/>
      <w:marLeft w:val="0"/>
      <w:marRight w:val="0"/>
      <w:marTop w:val="0"/>
      <w:marBottom w:val="0"/>
      <w:divBdr>
        <w:top w:val="none" w:sz="0" w:space="0" w:color="auto"/>
        <w:left w:val="none" w:sz="0" w:space="0" w:color="auto"/>
        <w:bottom w:val="none" w:sz="0" w:space="0" w:color="auto"/>
        <w:right w:val="none" w:sz="0" w:space="0" w:color="auto"/>
      </w:divBdr>
      <w:divsChild>
        <w:div w:id="1030229335">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1026940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93662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CDC_CONVERTER_HANDB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DD5B-64D9-4C16-B3E7-32BC163F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4014</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2024-03-19T13:04:00Z</dcterms:created>
  <dcterms:modified xsi:type="dcterms:W3CDTF">2024-05-15T12:27:00Z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