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070C" w14:textId="77777777" w:rsidR="00FD71F4" w:rsidRDefault="00C242D0">
      <w:pPr>
        <w:pStyle w:val="berschrift1"/>
        <w:spacing w:before="720" w:after="720" w:line="260" w:lineRule="exact"/>
        <w:rPr>
          <w:sz w:val="20"/>
        </w:rPr>
      </w:pPr>
      <w:r>
        <w:rPr>
          <w:sz w:val="20"/>
        </w:rPr>
        <w:t>COMUNICADO DE PRENSA</w:t>
      </w:r>
    </w:p>
    <w:p w14:paraId="4F1815ED" w14:textId="06E285A2" w:rsidR="00FD71F4" w:rsidRDefault="00C242D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w:t>
      </w:r>
      <w:r>
        <w:rPr>
          <w:rFonts w:ascii="Arial" w:hAnsi="Arial"/>
          <w:b/>
        </w:rPr>
        <w:t>ha realizado test de resistencia al fuego de sus conectores en un laboratorio independiente</w:t>
      </w:r>
    </w:p>
    <w:p w14:paraId="6A0DF246" w14:textId="41C1C52D" w:rsidR="00FD71F4" w:rsidRDefault="00C242D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Ensayos de hilo incandescente para la seguridad </w:t>
      </w:r>
      <w:r>
        <w:rPr>
          <w:rFonts w:ascii="Arial" w:hAnsi="Arial"/>
          <w:b/>
          <w:color w:val="000000"/>
          <w:sz w:val="36"/>
        </w:rPr>
        <w:t>en</w:t>
      </w:r>
      <w:r>
        <w:rPr>
          <w:rFonts w:ascii="Arial" w:hAnsi="Arial"/>
          <w:b/>
          <w:color w:val="000000"/>
          <w:sz w:val="36"/>
        </w:rPr>
        <w:t xml:space="preserve"> los electrodomésticos</w:t>
      </w:r>
    </w:p>
    <w:p w14:paraId="341444B7" w14:textId="6BA6F443" w:rsidR="00FD71F4" w:rsidRDefault="00C242D0">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C242D0">
        <w:rPr>
          <w:rFonts w:ascii="Arial" w:hAnsi="Arial"/>
          <w:color w:val="000000"/>
        </w:rPr>
        <w:t>16 de abril de 2024</w:t>
      </w:r>
      <w:r>
        <w:rPr>
          <w:rFonts w:ascii="Arial" w:hAnsi="Arial"/>
          <w:color w:val="000000"/>
        </w:rPr>
        <w:t xml:space="preserve"> – Würth Elektronik </w:t>
      </w:r>
      <w:r>
        <w:rPr>
          <w:rFonts w:ascii="Arial" w:hAnsi="Arial"/>
          <w:color w:val="000000"/>
        </w:rPr>
        <w:t xml:space="preserve">ha </w:t>
      </w:r>
      <w:r>
        <w:rPr>
          <w:rFonts w:ascii="Arial" w:hAnsi="Arial"/>
          <w:color w:val="000000"/>
        </w:rPr>
        <w:t>encarga</w:t>
      </w:r>
      <w:r>
        <w:rPr>
          <w:rFonts w:ascii="Arial" w:hAnsi="Arial"/>
          <w:color w:val="000000"/>
        </w:rPr>
        <w:t>do</w:t>
      </w:r>
      <w:r>
        <w:rPr>
          <w:rFonts w:ascii="Arial" w:hAnsi="Arial"/>
          <w:color w:val="000000"/>
        </w:rPr>
        <w:t xml:space="preserve"> al Grupo SGS France la realización de ensayos para </w:t>
      </w:r>
      <w:r>
        <w:rPr>
          <w:rFonts w:ascii="Arial" w:hAnsi="Arial"/>
          <w:color w:val="000000"/>
        </w:rPr>
        <w:t xml:space="preserve">ciertas </w:t>
      </w:r>
      <w:r>
        <w:rPr>
          <w:rFonts w:ascii="Arial" w:hAnsi="Arial"/>
          <w:color w:val="000000"/>
        </w:rPr>
        <w:t>gama</w:t>
      </w:r>
      <w:r>
        <w:rPr>
          <w:rFonts w:ascii="Arial" w:hAnsi="Arial"/>
          <w:color w:val="000000"/>
        </w:rPr>
        <w:t>s</w:t>
      </w:r>
      <w:r>
        <w:rPr>
          <w:rFonts w:ascii="Arial" w:hAnsi="Arial"/>
          <w:color w:val="000000"/>
        </w:rPr>
        <w:t xml:space="preserve"> de conectores. Los plásticos </w:t>
      </w:r>
      <w:r>
        <w:rPr>
          <w:rFonts w:ascii="Arial" w:hAnsi="Arial"/>
          <w:color w:val="000000"/>
        </w:rPr>
        <w:t xml:space="preserve">de los </w:t>
      </w:r>
      <w:r>
        <w:rPr>
          <w:rFonts w:ascii="Arial" w:hAnsi="Arial"/>
          <w:color w:val="000000"/>
        </w:rPr>
        <w:t>conectores</w:t>
      </w:r>
      <w:r>
        <w:rPr>
          <w:rFonts w:ascii="Arial" w:hAnsi="Arial"/>
          <w:color w:val="000000"/>
        </w:rPr>
        <w:t xml:space="preserve"> se </w:t>
      </w:r>
      <w:r>
        <w:rPr>
          <w:rFonts w:ascii="Arial" w:hAnsi="Arial"/>
          <w:color w:val="000000"/>
        </w:rPr>
        <w:t xml:space="preserve">han </w:t>
      </w:r>
      <w:r>
        <w:rPr>
          <w:rFonts w:ascii="Arial" w:hAnsi="Arial"/>
          <w:color w:val="000000"/>
        </w:rPr>
        <w:t>somet</w:t>
      </w:r>
      <w:r>
        <w:rPr>
          <w:rFonts w:ascii="Arial" w:hAnsi="Arial"/>
          <w:color w:val="000000"/>
        </w:rPr>
        <w:t>ido</w:t>
      </w:r>
      <w:r>
        <w:rPr>
          <w:rFonts w:ascii="Arial" w:hAnsi="Arial"/>
          <w:color w:val="000000"/>
        </w:rPr>
        <w:t xml:space="preserve"> a pruebas </w:t>
      </w:r>
      <w:r>
        <w:rPr>
          <w:rFonts w:ascii="Arial" w:hAnsi="Arial"/>
          <w:color w:val="000000"/>
        </w:rPr>
        <w:t xml:space="preserve">de </w:t>
      </w:r>
      <w:r>
        <w:rPr>
          <w:rFonts w:ascii="Arial" w:hAnsi="Arial"/>
          <w:color w:val="000000"/>
        </w:rPr>
        <w:t xml:space="preserve">hilo incandescente a fin de determinar su resistencia al fuego. </w:t>
      </w:r>
      <w:r>
        <w:rPr>
          <w:rFonts w:ascii="Arial" w:hAnsi="Arial"/>
          <w:color w:val="000000"/>
        </w:rPr>
        <w:t xml:space="preserve">Estos </w:t>
      </w:r>
      <w:r>
        <w:rPr>
          <w:rFonts w:ascii="Arial" w:hAnsi="Arial"/>
          <w:color w:val="000000"/>
        </w:rPr>
        <w:t>ensayo</w:t>
      </w:r>
      <w:r>
        <w:rPr>
          <w:rFonts w:ascii="Arial" w:hAnsi="Arial"/>
          <w:color w:val="000000"/>
        </w:rPr>
        <w:t>s</w:t>
      </w:r>
      <w:r>
        <w:rPr>
          <w:rFonts w:ascii="Arial" w:hAnsi="Arial"/>
          <w:color w:val="000000"/>
        </w:rPr>
        <w:t xml:space="preserve"> facilita</w:t>
      </w:r>
      <w:r>
        <w:rPr>
          <w:rFonts w:ascii="Arial" w:hAnsi="Arial"/>
          <w:color w:val="000000"/>
        </w:rPr>
        <w:t>n</w:t>
      </w:r>
      <w:r>
        <w:rPr>
          <w:rFonts w:ascii="Arial" w:hAnsi="Arial"/>
          <w:color w:val="000000"/>
        </w:rPr>
        <w:t xml:space="preserve"> a los clientes que utilizan estos conectores en aparatos eléctricos de uso doméstico la certificación según IEC 60335-1. </w:t>
      </w:r>
    </w:p>
    <w:p w14:paraId="089CFFCB" w14:textId="42D2FC64" w:rsidR="00FD71F4" w:rsidRDefault="00C242D0">
      <w:pPr>
        <w:pStyle w:val="Textkrper"/>
        <w:spacing w:before="120" w:after="120" w:line="260" w:lineRule="exact"/>
        <w:jc w:val="both"/>
        <w:rPr>
          <w:rFonts w:ascii="Arial" w:hAnsi="Arial"/>
          <w:b w:val="0"/>
          <w:bCs w:val="0"/>
          <w:color w:val="000000"/>
        </w:rPr>
      </w:pPr>
      <w:r>
        <w:rPr>
          <w:rFonts w:ascii="Arial" w:hAnsi="Arial"/>
          <w:b w:val="0"/>
          <w:color w:val="000000"/>
        </w:rPr>
        <w:t xml:space="preserve">Los fabricantes de </w:t>
      </w:r>
      <w:r>
        <w:rPr>
          <w:rFonts w:ascii="Arial" w:hAnsi="Arial"/>
          <w:b w:val="0"/>
          <w:color w:val="000000"/>
        </w:rPr>
        <w:t>electrodomésticos</w:t>
      </w:r>
      <w:r>
        <w:rPr>
          <w:rFonts w:ascii="Arial" w:hAnsi="Arial"/>
          <w:b w:val="0"/>
          <w:color w:val="000000"/>
        </w:rPr>
        <w:t xml:space="preserve"> deben garantizar que sus equipos no contribuy</w:t>
      </w:r>
      <w:r>
        <w:rPr>
          <w:rFonts w:ascii="Arial" w:hAnsi="Arial"/>
          <w:b w:val="0"/>
          <w:color w:val="000000"/>
        </w:rPr>
        <w:t>a</w:t>
      </w:r>
      <w:r>
        <w:rPr>
          <w:rFonts w:ascii="Arial" w:hAnsi="Arial"/>
          <w:b w:val="0"/>
          <w:color w:val="000000"/>
        </w:rPr>
        <w:t xml:space="preserve">n a la propagación del fuego. El requisito de la norma es que el producto resista un hilo incandescente </w:t>
      </w:r>
      <w:r>
        <w:rPr>
          <w:rFonts w:ascii="Arial" w:hAnsi="Arial"/>
          <w:b w:val="0"/>
          <w:color w:val="000000"/>
        </w:rPr>
        <w:t>a 850°C y</w:t>
      </w:r>
      <w:r>
        <w:rPr>
          <w:rFonts w:ascii="Arial" w:hAnsi="Arial"/>
          <w:b w:val="0"/>
          <w:color w:val="000000"/>
        </w:rPr>
        <w:t xml:space="preserve"> que</w:t>
      </w:r>
      <w:r>
        <w:rPr>
          <w:rFonts w:ascii="Arial" w:hAnsi="Arial"/>
          <w:b w:val="0"/>
          <w:color w:val="000000"/>
        </w:rPr>
        <w:t xml:space="preserve"> no produzca una llama que dure más de dos segundos cuando se exponga a un hilo incandescente a 750°C. Los ensayos </w:t>
      </w:r>
      <w:r>
        <w:rPr>
          <w:rFonts w:ascii="Arial" w:hAnsi="Arial"/>
          <w:b w:val="0"/>
          <w:color w:val="000000"/>
        </w:rPr>
        <w:t xml:space="preserve">incluyen </w:t>
      </w:r>
      <w:r>
        <w:rPr>
          <w:rFonts w:ascii="Arial" w:hAnsi="Arial"/>
          <w:b w:val="0"/>
          <w:color w:val="000000"/>
        </w:rPr>
        <w:t>el GWIT (Glow Wire Ignition Temperature - Temperatura de ignición del hilo incandescente - IEC 60695-2-13) para determinar la temperatura de ignición utilizando una placa de ensayo</w:t>
      </w:r>
      <w:r>
        <w:rPr>
          <w:rFonts w:ascii="Arial" w:hAnsi="Arial"/>
          <w:b w:val="0"/>
          <w:color w:val="000000"/>
        </w:rPr>
        <w:t>;</w:t>
      </w:r>
      <w:r>
        <w:rPr>
          <w:rFonts w:ascii="Arial" w:hAnsi="Arial"/>
          <w:b w:val="0"/>
          <w:color w:val="000000"/>
        </w:rPr>
        <w:t xml:space="preserve"> el GWFI (Glow Wire Flammability Index - Índice de inflamabilidad del hilo incandescente - IEC 60695-2-12) para </w:t>
      </w:r>
      <w:r>
        <w:rPr>
          <w:rFonts w:ascii="Arial" w:hAnsi="Arial"/>
          <w:b w:val="0"/>
          <w:color w:val="000000"/>
        </w:rPr>
        <w:t xml:space="preserve">evaluar </w:t>
      </w:r>
      <w:r>
        <w:rPr>
          <w:rFonts w:ascii="Arial" w:hAnsi="Arial"/>
          <w:b w:val="0"/>
          <w:color w:val="000000"/>
        </w:rPr>
        <w:t>el comportamiento de la llama en la muestra de ensayo</w:t>
      </w:r>
      <w:r>
        <w:rPr>
          <w:rFonts w:ascii="Arial" w:hAnsi="Arial"/>
          <w:b w:val="0"/>
          <w:color w:val="000000"/>
        </w:rPr>
        <w:t>;</w:t>
      </w:r>
      <w:r>
        <w:rPr>
          <w:rFonts w:ascii="Arial" w:hAnsi="Arial"/>
          <w:b w:val="0"/>
          <w:color w:val="000000"/>
        </w:rPr>
        <w:t xml:space="preserve"> y el GWT (Glow Wire Temperature - Temperatura del hilo incandescente - IEC 60695-2-11) para determinar la temperatura de ignición </w:t>
      </w:r>
      <w:r>
        <w:rPr>
          <w:rFonts w:ascii="Arial" w:hAnsi="Arial"/>
          <w:b w:val="0"/>
          <w:color w:val="000000"/>
        </w:rPr>
        <w:t xml:space="preserve">sobre </w:t>
      </w:r>
      <w:r>
        <w:rPr>
          <w:rFonts w:ascii="Arial" w:hAnsi="Arial"/>
          <w:b w:val="0"/>
          <w:color w:val="000000"/>
        </w:rPr>
        <w:t>el producto terminado.</w:t>
      </w:r>
    </w:p>
    <w:p w14:paraId="0A0DC406" w14:textId="4AD7BFBF" w:rsidR="00FD71F4" w:rsidRDefault="00C242D0">
      <w:pPr>
        <w:pStyle w:val="Textkrper"/>
        <w:spacing w:before="120" w:after="120" w:line="260" w:lineRule="exact"/>
        <w:jc w:val="both"/>
        <w:rPr>
          <w:rFonts w:ascii="Arial" w:hAnsi="Arial"/>
          <w:b w:val="0"/>
        </w:rPr>
      </w:pPr>
      <w:r>
        <w:rPr>
          <w:rFonts w:ascii="Arial" w:hAnsi="Arial"/>
          <w:b w:val="0"/>
          <w:color w:val="000000"/>
        </w:rPr>
        <w:t xml:space="preserve">Los siguientes componentes de Würth Elektronik </w:t>
      </w:r>
      <w:r>
        <w:rPr>
          <w:rFonts w:ascii="Arial" w:hAnsi="Arial"/>
          <w:b w:val="0"/>
          <w:color w:val="000000"/>
        </w:rPr>
        <w:t>han sido sometidos</w:t>
      </w:r>
      <w:r>
        <w:rPr>
          <w:rFonts w:ascii="Arial" w:hAnsi="Arial"/>
          <w:b w:val="0"/>
          <w:color w:val="000000"/>
        </w:rPr>
        <w:t xml:space="preserve"> a dichas pruebas: </w:t>
      </w:r>
      <w:r>
        <w:rPr>
          <w:rFonts w:ascii="Arial" w:hAnsi="Arial"/>
          <w:b w:val="0"/>
        </w:rPr>
        <w:t>con</w:t>
      </w:r>
      <w:r>
        <w:rPr>
          <w:rFonts w:ascii="Arial" w:hAnsi="Arial"/>
          <w:b w:val="0"/>
        </w:rPr>
        <w:t>e</w:t>
      </w:r>
      <w:r>
        <w:rPr>
          <w:rFonts w:ascii="Arial" w:hAnsi="Arial"/>
          <w:b w:val="0"/>
        </w:rPr>
        <w:t>ctores FAST-ON de montaje THT con pasos de 5,08 y 7,62 (</w:t>
      </w:r>
      <w:r>
        <w:fldChar w:fldCharType="begin"/>
      </w:r>
      <w:r>
        <w:instrText>HYPERLINK "https://www.we-online.com/en/components/products/em/connectors/wire-to-board/wr-fast"</w:instrText>
      </w:r>
      <w:r>
        <w:fldChar w:fldCharType="separate"/>
      </w:r>
      <w:r>
        <w:rPr>
          <w:rStyle w:val="Hyperlink"/>
          <w:rFonts w:ascii="Arial" w:hAnsi="Arial"/>
          <w:b w:val="0"/>
        </w:rPr>
        <w:t>WR-FAST</w:t>
      </w:r>
      <w:r>
        <w:rPr>
          <w:rStyle w:val="Hyperlink"/>
          <w:rFonts w:ascii="Arial" w:hAnsi="Arial"/>
          <w:b w:val="0"/>
        </w:rPr>
        <w:fldChar w:fldCharType="end"/>
      </w:r>
      <w:r>
        <w:rPr>
          <w:rFonts w:ascii="Arial" w:hAnsi="Arial"/>
          <w:b w:val="0"/>
        </w:rPr>
        <w:t xml:space="preserve">), </w:t>
      </w:r>
      <w:r>
        <w:rPr>
          <w:rFonts w:ascii="Arial" w:hAnsi="Arial"/>
          <w:b w:val="0"/>
        </w:rPr>
        <w:t>bornas</w:t>
      </w:r>
      <w:r>
        <w:rPr>
          <w:rFonts w:ascii="Arial" w:hAnsi="Arial"/>
          <w:b w:val="0"/>
        </w:rPr>
        <w:t xml:space="preserve"> sin tornillo</w:t>
      </w:r>
      <w:r>
        <w:rPr>
          <w:rFonts w:ascii="Arial" w:hAnsi="Arial"/>
          <w:b w:val="0"/>
        </w:rPr>
        <w:t xml:space="preserve"> (</w:t>
      </w:r>
      <w:hyperlink r:id="rId8" w:history="1">
        <w:r>
          <w:rPr>
            <w:rStyle w:val="Hyperlink"/>
            <w:rFonts w:ascii="Arial" w:hAnsi="Arial"/>
            <w:b w:val="0"/>
          </w:rPr>
          <w:t>WR-TBL3</w:t>
        </w:r>
      </w:hyperlink>
      <w:r>
        <w:rPr>
          <w:rFonts w:ascii="Arial" w:hAnsi="Arial"/>
          <w:b w:val="0"/>
        </w:rPr>
        <w:t xml:space="preserve">) así como los conectores de cable a placa de las series </w:t>
      </w:r>
      <w:r>
        <w:fldChar w:fldCharType="begin"/>
      </w:r>
      <w:r>
        <w:instrText>HYPERLINK "https://www.we-online.com/en/components/products/em/connectors/wire-to-board/wr_mpc3"</w:instrText>
      </w:r>
      <w:r>
        <w:fldChar w:fldCharType="separate"/>
      </w:r>
      <w:r>
        <w:rPr>
          <w:rStyle w:val="Hyperlink"/>
          <w:rFonts w:ascii="Arial" w:hAnsi="Arial"/>
          <w:b w:val="0"/>
        </w:rPr>
        <w:t>WR-MPC3</w:t>
      </w:r>
      <w:r>
        <w:rPr>
          <w:rStyle w:val="Hyperlink"/>
          <w:rFonts w:ascii="Arial" w:hAnsi="Arial"/>
          <w:b w:val="0"/>
        </w:rPr>
        <w:fldChar w:fldCharType="end"/>
      </w:r>
      <w:r>
        <w:rPr>
          <w:rFonts w:ascii="Arial" w:hAnsi="Arial"/>
          <w:b w:val="0"/>
        </w:rPr>
        <w:t xml:space="preserve">, </w:t>
      </w:r>
      <w:hyperlink r:id="rId9" w:history="1">
        <w:r>
          <w:rPr>
            <w:rStyle w:val="Hyperlink"/>
            <w:rFonts w:ascii="Arial" w:hAnsi="Arial"/>
            <w:b w:val="0"/>
          </w:rPr>
          <w:t>WR-MPC4</w:t>
        </w:r>
      </w:hyperlink>
      <w:r>
        <w:rPr>
          <w:rFonts w:ascii="Arial" w:hAnsi="Arial"/>
          <w:b w:val="0"/>
        </w:rPr>
        <w:t xml:space="preserve"> y </w:t>
      </w:r>
      <w:hyperlink r:id="rId10" w:history="1">
        <w:r>
          <w:rPr>
            <w:rStyle w:val="Hyperlink"/>
            <w:rFonts w:ascii="Arial" w:hAnsi="Arial"/>
            <w:b w:val="0"/>
          </w:rPr>
          <w:t>WR-MPC5</w:t>
        </w:r>
      </w:hyperlink>
      <w:r>
        <w:rPr>
          <w:rFonts w:ascii="Arial" w:hAnsi="Arial"/>
          <w:b w:val="0"/>
        </w:rPr>
        <w:t>.</w:t>
      </w:r>
    </w:p>
    <w:p w14:paraId="4D25D346" w14:textId="77777777" w:rsidR="00FD71F4" w:rsidRDefault="00FD71F4">
      <w:pPr>
        <w:rPr>
          <w:rFonts w:ascii="Arial" w:hAnsi="Arial" w:cs="Arial"/>
          <w:bCs/>
          <w:sz w:val="20"/>
          <w:szCs w:val="20"/>
        </w:rPr>
      </w:pPr>
    </w:p>
    <w:p w14:paraId="3F270E01" w14:textId="77777777" w:rsidR="00FD71F4" w:rsidRDefault="00FD71F4">
      <w:pPr>
        <w:rPr>
          <w:rFonts w:ascii="Arial" w:hAnsi="Arial" w:cs="Arial"/>
          <w:bCs/>
          <w:sz w:val="20"/>
          <w:szCs w:val="20"/>
        </w:rPr>
      </w:pPr>
    </w:p>
    <w:p w14:paraId="758C9E4E" w14:textId="77777777" w:rsidR="00C242D0" w:rsidRPr="00163BBC" w:rsidRDefault="00C242D0" w:rsidP="00C242D0">
      <w:pPr>
        <w:pStyle w:val="PITextkrper"/>
        <w:pBdr>
          <w:top w:val="single" w:sz="4" w:space="1" w:color="auto"/>
        </w:pBdr>
        <w:spacing w:before="240"/>
        <w:rPr>
          <w:b/>
          <w:sz w:val="18"/>
          <w:szCs w:val="18"/>
          <w:lang w:val="de-DE"/>
        </w:rPr>
      </w:pPr>
      <w:bookmarkStart w:id="0" w:name="_Hlk155794207"/>
    </w:p>
    <w:p w14:paraId="2EA21C4F" w14:textId="77777777" w:rsidR="00C242D0" w:rsidRPr="00735520" w:rsidRDefault="00C242D0" w:rsidP="00C242D0">
      <w:pPr>
        <w:spacing w:after="120" w:line="280" w:lineRule="exact"/>
        <w:rPr>
          <w:rFonts w:ascii="Arial" w:hAnsi="Arial" w:cs="Arial"/>
          <w:b/>
          <w:bCs/>
          <w:sz w:val="18"/>
          <w:szCs w:val="18"/>
        </w:rPr>
      </w:pPr>
      <w:r w:rsidRPr="00735520">
        <w:rPr>
          <w:rFonts w:ascii="Arial" w:hAnsi="Arial"/>
          <w:b/>
          <w:sz w:val="18"/>
        </w:rPr>
        <w:t>Imágenes disponibles</w:t>
      </w:r>
    </w:p>
    <w:p w14:paraId="1C24D3D9" w14:textId="77777777" w:rsidR="00C242D0" w:rsidRPr="00735520" w:rsidRDefault="00C242D0" w:rsidP="00C242D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1" w:history="1">
        <w:r w:rsidRPr="00735520">
          <w:rPr>
            <w:rStyle w:val="Hyperlink"/>
            <w:rFonts w:ascii="Arial" w:hAnsi="Arial" w:cs="Arial"/>
            <w:sz w:val="18"/>
            <w:szCs w:val="18"/>
          </w:rPr>
          <w:t>https://kk.htcm.de/press-releases/wuerth/</w:t>
        </w:r>
      </w:hyperlink>
    </w:p>
    <w:bookmarkEnd w:id="0"/>
    <w:p w14:paraId="58511394" w14:textId="77777777" w:rsidR="00FD71F4" w:rsidRDefault="00FD71F4">
      <w:pPr>
        <w:rPr>
          <w:rFonts w:ascii="Arial" w:hAnsi="Arial" w:cs="Arial"/>
          <w:bCs/>
          <w:sz w:val="20"/>
          <w:szCs w:val="20"/>
        </w:rPr>
      </w:pPr>
    </w:p>
    <w:p w14:paraId="41802C17" w14:textId="6D2858AD" w:rsidR="00C242D0" w:rsidRDefault="00C242D0">
      <w:pPr>
        <w:rPr>
          <w:rFonts w:ascii="Arial" w:hAnsi="Arial" w:cs="Arial"/>
          <w:bCs/>
          <w:sz w:val="20"/>
          <w:szCs w:val="20"/>
        </w:rPr>
      </w:pPr>
      <w:r>
        <w:rPr>
          <w:rFonts w:ascii="Arial" w:hAnsi="Arial" w:cs="Arial"/>
          <w:bCs/>
          <w:sz w:val="20"/>
          <w:szCs w:val="20"/>
        </w:rPr>
        <w:br w:type="page"/>
      </w:r>
    </w:p>
    <w:p w14:paraId="3FDEDB62" w14:textId="77777777" w:rsidR="00C242D0" w:rsidRDefault="00C242D0">
      <w:pPr>
        <w:rPr>
          <w:rFonts w:ascii="Arial" w:hAnsi="Arial" w:cs="Arial"/>
          <w:bCs/>
          <w:sz w:val="20"/>
          <w:szCs w:val="2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D71F4" w14:paraId="3B14176D" w14:textId="77777777">
        <w:trPr>
          <w:trHeight w:val="1701"/>
        </w:trPr>
        <w:tc>
          <w:tcPr>
            <w:tcW w:w="3510" w:type="dxa"/>
          </w:tcPr>
          <w:p w14:paraId="52F62DEB" w14:textId="77777777" w:rsidR="00FD71F4" w:rsidRDefault="00C242D0">
            <w:pPr>
              <w:pStyle w:val="txt"/>
              <w:rPr>
                <w:b/>
                <w:bCs/>
                <w:sz w:val="18"/>
              </w:rPr>
            </w:pPr>
            <w:r>
              <w:rPr>
                <w:b/>
                <w:sz w:val="18"/>
              </w:rPr>
              <w:br/>
            </w:r>
            <w:r>
              <w:rPr>
                <w:noProof/>
                <w:lang w:eastAsia="zh-TW"/>
              </w:rPr>
              <w:drawing>
                <wp:inline distT="0" distB="0" distL="0" distR="0" wp14:anchorId="59B5E3F0" wp14:editId="31F650DF">
                  <wp:extent cx="2138045" cy="1603375"/>
                  <wp:effectExtent l="0" t="0" r="0" b="0"/>
                  <wp:docPr id="39099718" name="Bild 1" descr="Ein Bild, das Elektronik, Im Haus, Armaturenbrett,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9718" name="Bild 1" descr="Ein Bild, das Elektronik, Im Haus, Armaturenbrett, Haushaltsgerä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045" cy="1603375"/>
                          </a:xfrm>
                          <a:prstGeom prst="rect">
                            <a:avLst/>
                          </a:prstGeom>
                          <a:noFill/>
                          <a:ln>
                            <a:noFill/>
                          </a:ln>
                        </pic:spPr>
                      </pic:pic>
                    </a:graphicData>
                  </a:graphic>
                </wp:inline>
              </w:drawing>
            </w:r>
            <w:r>
              <w:rPr>
                <w:sz w:val="16"/>
              </w:rPr>
              <w:t xml:space="preserve">Fuente de la imagen: Würth Elektronik </w:t>
            </w:r>
          </w:p>
          <w:p w14:paraId="494C675D" w14:textId="77777777" w:rsidR="00FD71F4" w:rsidRDefault="00C242D0">
            <w:pPr>
              <w:autoSpaceDE w:val="0"/>
              <w:autoSpaceDN w:val="0"/>
              <w:adjustRightInd w:val="0"/>
              <w:rPr>
                <w:rFonts w:ascii="Arial" w:hAnsi="Arial" w:cs="Arial"/>
                <w:b/>
                <w:sz w:val="18"/>
                <w:szCs w:val="18"/>
              </w:rPr>
            </w:pPr>
            <w:r>
              <w:rPr>
                <w:rFonts w:ascii="Arial" w:hAnsi="Arial"/>
                <w:b/>
                <w:sz w:val="18"/>
              </w:rPr>
              <w:t xml:space="preserve">Würth Elektronik cuenta con su propia máquina para ensayos de hilo incandescente en su laboratorio de Lyon, pero ahora también </w:t>
            </w:r>
            <w:r>
              <w:rPr>
                <w:rFonts w:ascii="Arial" w:hAnsi="Arial"/>
                <w:b/>
                <w:sz w:val="18"/>
              </w:rPr>
              <w:t>encarga la certificación de sus productos al laboratorio acreditado SGS.</w:t>
            </w:r>
          </w:p>
          <w:p w14:paraId="13263035" w14:textId="77777777" w:rsidR="00FD71F4" w:rsidRDefault="00FD71F4">
            <w:pPr>
              <w:autoSpaceDE w:val="0"/>
              <w:autoSpaceDN w:val="0"/>
              <w:adjustRightInd w:val="0"/>
              <w:rPr>
                <w:rFonts w:ascii="Arial" w:hAnsi="Arial" w:cs="Arial"/>
                <w:b/>
                <w:bCs/>
                <w:sz w:val="18"/>
                <w:szCs w:val="18"/>
              </w:rPr>
            </w:pPr>
          </w:p>
        </w:tc>
      </w:tr>
    </w:tbl>
    <w:p w14:paraId="0EA7E2D6" w14:textId="0C297D97" w:rsidR="00FD71F4" w:rsidRDefault="00FD71F4">
      <w:pPr>
        <w:pStyle w:val="PITextkrper"/>
        <w:rPr>
          <w:b/>
          <w:bCs/>
          <w:sz w:val="18"/>
          <w:szCs w:val="18"/>
        </w:rPr>
      </w:pPr>
    </w:p>
    <w:p w14:paraId="3B50D9C0" w14:textId="77777777" w:rsidR="00C242D0" w:rsidRPr="00735520" w:rsidRDefault="00C242D0" w:rsidP="00C242D0">
      <w:pPr>
        <w:pStyle w:val="Textkrper"/>
        <w:spacing w:before="120" w:after="120" w:line="260" w:lineRule="exact"/>
        <w:jc w:val="both"/>
        <w:rPr>
          <w:rFonts w:ascii="Arial" w:hAnsi="Arial"/>
          <w:b w:val="0"/>
          <w:bCs w:val="0"/>
        </w:rPr>
      </w:pPr>
      <w:bookmarkStart w:id="1" w:name="_Hlk155794191"/>
    </w:p>
    <w:p w14:paraId="27BE678E" w14:textId="77777777" w:rsidR="00C242D0" w:rsidRPr="00735520" w:rsidRDefault="00C242D0" w:rsidP="00C242D0">
      <w:pPr>
        <w:pStyle w:val="PITextkrper"/>
        <w:pBdr>
          <w:top w:val="single" w:sz="4" w:space="1" w:color="auto"/>
        </w:pBdr>
        <w:spacing w:before="240"/>
        <w:rPr>
          <w:b/>
          <w:sz w:val="18"/>
          <w:szCs w:val="18"/>
        </w:rPr>
      </w:pPr>
    </w:p>
    <w:p w14:paraId="4E976D08" w14:textId="77777777" w:rsidR="00C242D0" w:rsidRPr="00735520" w:rsidRDefault="00C242D0" w:rsidP="00C242D0">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223E9976" w14:textId="77777777" w:rsidR="00C242D0" w:rsidRPr="00735520" w:rsidRDefault="00C242D0" w:rsidP="00C242D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5691F744" w14:textId="77777777" w:rsidR="00C242D0" w:rsidRPr="00735520" w:rsidRDefault="00C242D0" w:rsidP="00C242D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8C7DCC5" w14:textId="77777777" w:rsidR="00C242D0" w:rsidRPr="00735520" w:rsidRDefault="00C242D0" w:rsidP="00C242D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66D4F13" w14:textId="77777777" w:rsidR="00C242D0" w:rsidRPr="00735520" w:rsidRDefault="00C242D0" w:rsidP="00C242D0">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A7F801F" w14:textId="77777777" w:rsidR="00C242D0" w:rsidRPr="00163BBC" w:rsidRDefault="00C242D0" w:rsidP="00C242D0">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862CE2C" w14:textId="77777777" w:rsidR="00C242D0" w:rsidRPr="00735520" w:rsidRDefault="00C242D0" w:rsidP="00C242D0">
      <w:pPr>
        <w:pStyle w:val="Textkrper"/>
        <w:spacing w:before="120" w:after="120" w:line="276" w:lineRule="auto"/>
        <w:rPr>
          <w:rFonts w:ascii="Arial" w:hAnsi="Arial"/>
        </w:rPr>
      </w:pPr>
      <w:r w:rsidRPr="00735520">
        <w:rPr>
          <w:rFonts w:ascii="Arial" w:hAnsi="Arial"/>
        </w:rPr>
        <w:t>Más información en www.we-online.com</w:t>
      </w:r>
    </w:p>
    <w:p w14:paraId="618C4E91" w14:textId="77777777" w:rsidR="00C242D0" w:rsidRPr="00735520" w:rsidRDefault="00C242D0" w:rsidP="00C242D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242D0" w:rsidRPr="00163BBC" w14:paraId="35A6174E" w14:textId="77777777" w:rsidTr="00C32811">
        <w:tc>
          <w:tcPr>
            <w:tcW w:w="3902" w:type="dxa"/>
            <w:hideMark/>
          </w:tcPr>
          <w:p w14:paraId="5EAEEFAF" w14:textId="77777777" w:rsidR="00C242D0" w:rsidRPr="00735520" w:rsidRDefault="00C242D0" w:rsidP="00C32811">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82DF2B3" w14:textId="77777777" w:rsidR="00C242D0" w:rsidRPr="00735520" w:rsidRDefault="00C242D0" w:rsidP="00C32811">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5C4ACF9" w14:textId="77777777" w:rsidR="00C242D0" w:rsidRPr="00735520" w:rsidRDefault="00C242D0" w:rsidP="00C32811">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52C8E52" w14:textId="77777777" w:rsidR="00C242D0" w:rsidRPr="00735520" w:rsidRDefault="00C242D0" w:rsidP="00C32811">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095CACAB" w14:textId="77777777" w:rsidR="00C242D0" w:rsidRPr="00735520" w:rsidRDefault="00C242D0" w:rsidP="00C32811">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4358DD89"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3379A33"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72370AA" w14:textId="77777777" w:rsidR="00C242D0" w:rsidRPr="00735520" w:rsidRDefault="00C242D0" w:rsidP="00C32811">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3FD8D43E" w14:textId="77777777" w:rsidR="00C242D0" w:rsidRPr="00735520" w:rsidRDefault="00C242D0" w:rsidP="00C242D0">
      <w:pPr>
        <w:pStyle w:val="Textkrper"/>
        <w:spacing w:before="120" w:after="120" w:line="276" w:lineRule="auto"/>
      </w:pPr>
    </w:p>
    <w:bookmarkEnd w:id="1"/>
    <w:p w14:paraId="1E22E250" w14:textId="77777777" w:rsidR="00C242D0" w:rsidRDefault="00C242D0">
      <w:pPr>
        <w:pStyle w:val="PITextkrper"/>
        <w:rPr>
          <w:b/>
          <w:bCs/>
          <w:sz w:val="18"/>
          <w:szCs w:val="18"/>
        </w:rPr>
      </w:pPr>
    </w:p>
    <w:sectPr w:rsidR="00C242D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7089" w14:textId="77777777" w:rsidR="00FD71F4" w:rsidRDefault="00C242D0">
      <w:r>
        <w:separator/>
      </w:r>
    </w:p>
  </w:endnote>
  <w:endnote w:type="continuationSeparator" w:id="0">
    <w:p w14:paraId="1F0CBDB9" w14:textId="77777777" w:rsidR="00FD71F4" w:rsidRDefault="00C2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C61A" w14:textId="77777777" w:rsidR="00FD71F4" w:rsidRDefault="00C242D0">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GB"/>
      </w:rPr>
      <w:t>WTH1PI1424_es.docx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0491" w14:textId="77777777" w:rsidR="00FD71F4" w:rsidRDefault="00C242D0">
      <w:r>
        <w:separator/>
      </w:r>
    </w:p>
  </w:footnote>
  <w:footnote w:type="continuationSeparator" w:id="0">
    <w:p w14:paraId="0E69B98E" w14:textId="77777777" w:rsidR="00FD71F4" w:rsidRDefault="00C2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85E" w14:textId="77777777" w:rsidR="00FD71F4" w:rsidRDefault="00C242D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CCBDAF7" wp14:editId="339C397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33093">
    <w:abstractNumId w:val="4"/>
  </w:num>
  <w:num w:numId="2" w16cid:durableId="1892038942">
    <w:abstractNumId w:val="1"/>
  </w:num>
  <w:num w:numId="3" w16cid:durableId="1471365544">
    <w:abstractNumId w:val="2"/>
  </w:num>
  <w:num w:numId="4" w16cid:durableId="1536651426">
    <w:abstractNumId w:val="3"/>
  </w:num>
  <w:num w:numId="5" w16cid:durableId="10731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F4"/>
    <w:rsid w:val="00C242D0"/>
    <w:rsid w:val="00FD71F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50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9103320">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90085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terminal_blocks/pluggable_connector_contbl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em/connectors/wire-to-board/wr_mpc5" TargetMode="External"/><Relationship Id="rId4" Type="http://schemas.openxmlformats.org/officeDocument/2006/relationships/settings" Target="settings.xml"/><Relationship Id="rId9" Type="http://schemas.openxmlformats.org/officeDocument/2006/relationships/hyperlink" Target="https://www.we-online.com/en/components/products/em/connectors/wire-to-board/wr_mpc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F2FF-CEA9-4436-8DC7-6A688968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4166</Characters>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2024-04-15T14:21:00Z</dcterms:created>
  <dcterms:modified xsi:type="dcterms:W3CDTF">2024-04-16T08:10:00Z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