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0211" w14:textId="77777777" w:rsidR="00DA4B2F" w:rsidRDefault="000F45DC">
      <w:pPr>
        <w:pStyle w:val="berschrift1"/>
        <w:spacing w:before="720" w:after="720" w:line="260" w:lineRule="exact"/>
        <w:rPr>
          <w:sz w:val="20"/>
        </w:rPr>
      </w:pPr>
      <w:r>
        <w:rPr>
          <w:sz w:val="20"/>
        </w:rPr>
        <w:t>COMMUNIQUÉ DE PRESSE</w:t>
      </w:r>
    </w:p>
    <w:p w14:paraId="439026FC" w14:textId="77777777" w:rsidR="00DA4B2F" w:rsidRDefault="000F45DC">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Note d’application pour l’utilisation des optocoupleurs Würth </w:t>
      </w:r>
      <w:proofErr w:type="spellStart"/>
      <w:r>
        <w:rPr>
          <w:rFonts w:ascii="Arial" w:hAnsi="Arial"/>
          <w:b/>
        </w:rPr>
        <w:t>Elektronik</w:t>
      </w:r>
      <w:proofErr w:type="spellEnd"/>
      <w:r>
        <w:rPr>
          <w:rFonts w:ascii="Arial" w:hAnsi="Arial"/>
          <w:b/>
        </w:rPr>
        <w:t xml:space="preserve"> dans les convertisseurs </w:t>
      </w:r>
      <w:proofErr w:type="spellStart"/>
      <w:r>
        <w:rPr>
          <w:rFonts w:ascii="Arial" w:hAnsi="Arial"/>
          <w:b/>
        </w:rPr>
        <w:t>Flyback</w:t>
      </w:r>
      <w:proofErr w:type="spellEnd"/>
    </w:p>
    <w:p w14:paraId="0C345F1A" w14:textId="77777777" w:rsidR="00DA4B2F" w:rsidRDefault="000F45D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Conception du circuit de compensation pour un convertisseur </w:t>
      </w:r>
      <w:proofErr w:type="spellStart"/>
      <w:r>
        <w:rPr>
          <w:rFonts w:ascii="Arial" w:hAnsi="Arial"/>
          <w:b/>
          <w:color w:val="000000"/>
          <w:sz w:val="36"/>
        </w:rPr>
        <w:t>Flyback</w:t>
      </w:r>
      <w:proofErr w:type="spellEnd"/>
    </w:p>
    <w:p w14:paraId="50311BD8" w14:textId="529CFBF0" w:rsidR="00DA4B2F" w:rsidRDefault="000F45DC">
      <w:pPr>
        <w:pStyle w:val="Textkrper"/>
        <w:spacing w:before="120" w:after="120" w:line="260" w:lineRule="exact"/>
        <w:jc w:val="both"/>
        <w:rPr>
          <w:rFonts w:ascii="Arial" w:hAnsi="Arial"/>
          <w:color w:val="000000"/>
        </w:rPr>
      </w:pPr>
      <w:r>
        <w:rPr>
          <w:rFonts w:ascii="Arial" w:hAnsi="Arial"/>
          <w:color w:val="000000"/>
        </w:rPr>
        <w:t>Waldenburg</w:t>
      </w:r>
      <w:r w:rsidR="00FC2CB7">
        <w:rPr>
          <w:rFonts w:ascii="Arial" w:hAnsi="Arial"/>
          <w:color w:val="000000"/>
        </w:rPr>
        <w:t xml:space="preserve"> (Allemagne)</w:t>
      </w:r>
      <w:r>
        <w:rPr>
          <w:rFonts w:ascii="Arial" w:hAnsi="Arial"/>
          <w:color w:val="000000"/>
        </w:rPr>
        <w:t xml:space="preserve">, </w:t>
      </w:r>
      <w:r w:rsidR="00FC2CB7" w:rsidRPr="00FC2CB7">
        <w:rPr>
          <w:rFonts w:ascii="Arial" w:hAnsi="Arial"/>
          <w:color w:val="000000"/>
        </w:rPr>
        <w:t>le 13 février 2024</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a publié sa nouvelle note d’application « Compensation de la boucle </w:t>
      </w:r>
      <w:r>
        <w:rPr>
          <w:rFonts w:ascii="Arial" w:hAnsi="Arial"/>
          <w:color w:val="000000"/>
        </w:rPr>
        <w:t>régulation</w:t>
      </w:r>
      <w:r>
        <w:rPr>
          <w:rFonts w:ascii="Arial" w:hAnsi="Arial"/>
          <w:color w:val="000000"/>
        </w:rPr>
        <w:t xml:space="preserve"> d’un convertisseur </w:t>
      </w:r>
      <w:proofErr w:type="spellStart"/>
      <w:r>
        <w:rPr>
          <w:rFonts w:ascii="Arial" w:hAnsi="Arial"/>
          <w:color w:val="000000"/>
        </w:rPr>
        <w:t>Flyback</w:t>
      </w:r>
      <w:proofErr w:type="spellEnd"/>
      <w:r>
        <w:rPr>
          <w:rFonts w:ascii="Arial" w:hAnsi="Arial"/>
          <w:color w:val="000000"/>
        </w:rPr>
        <w:t xml:space="preserve"> commandé </w:t>
      </w:r>
      <w:r>
        <w:rPr>
          <w:rFonts w:ascii="Arial" w:hAnsi="Arial"/>
          <w:color w:val="000000"/>
        </w:rPr>
        <w:t xml:space="preserve">en </w:t>
      </w:r>
      <w:r>
        <w:rPr>
          <w:rFonts w:ascii="Arial" w:hAnsi="Arial"/>
          <w:color w:val="000000"/>
        </w:rPr>
        <w:t>courant avec optocoupleur » (</w:t>
      </w:r>
      <w:hyperlink r:id="rId8" w:history="1">
        <w:r>
          <w:rPr>
            <w:rStyle w:val="Hyperlink"/>
            <w:rFonts w:ascii="Arial" w:hAnsi="Arial"/>
          </w:rPr>
          <w:t>http://www.we-online.com/ANP113</w:t>
        </w:r>
      </w:hyperlink>
      <w:r>
        <w:rPr>
          <w:rFonts w:ascii="Arial" w:hAnsi="Arial"/>
          <w:color w:val="000000"/>
        </w:rPr>
        <w:t xml:space="preserve">). Le guide s’adresse aux </w:t>
      </w:r>
      <w:r>
        <w:rPr>
          <w:rFonts w:ascii="Arial" w:hAnsi="Arial"/>
          <w:color w:val="000000"/>
        </w:rPr>
        <w:t xml:space="preserve">designers </w:t>
      </w:r>
      <w:r>
        <w:rPr>
          <w:rFonts w:ascii="Arial" w:hAnsi="Arial"/>
          <w:color w:val="000000"/>
        </w:rPr>
        <w:t xml:space="preserve">qui souhaitent utiliser un convertisseur DC/DC </w:t>
      </w:r>
      <w:proofErr w:type="spellStart"/>
      <w:r>
        <w:rPr>
          <w:rFonts w:ascii="Arial" w:hAnsi="Arial"/>
          <w:color w:val="000000"/>
        </w:rPr>
        <w:t>Flyback</w:t>
      </w:r>
      <w:proofErr w:type="spellEnd"/>
      <w:r>
        <w:rPr>
          <w:rFonts w:ascii="Arial" w:hAnsi="Arial"/>
          <w:color w:val="000000"/>
        </w:rPr>
        <w:t xml:space="preserve"> pour obtenir une plus grande stabilité et fiabilité dans la conception des alimentations et à ceux qui utilisent des optocoupleurs pour l’isolation galvanique du chemin de </w:t>
      </w:r>
      <w:r>
        <w:rPr>
          <w:rFonts w:ascii="Arial" w:hAnsi="Arial"/>
          <w:color w:val="000000"/>
        </w:rPr>
        <w:t>rétroaction</w:t>
      </w:r>
      <w:r>
        <w:rPr>
          <w:rFonts w:ascii="Arial" w:hAnsi="Arial"/>
          <w:color w:val="000000"/>
        </w:rPr>
        <w:t>. Les applications comprennent les alimentations primaires et auxiliaires pour les appareils électroménagers, les chargeurs de batterie pour les smartphones et les tablettes, ainsi que l’éclairage LED. Mais la note d’application fournit également une aide précieuse pour les alimentations des ordinateurs de bureau et portables, les alimentations industrielles et les alimentations auxiliaires dans les entraînements de moteur, ou pour le Power-over-Ethernet (PoE).</w:t>
      </w:r>
    </w:p>
    <w:p w14:paraId="07061E8A" w14:textId="77777777" w:rsidR="00DA4B2F" w:rsidRDefault="000F45DC">
      <w:pPr>
        <w:pStyle w:val="Textkrper"/>
        <w:spacing w:before="120" w:after="120" w:line="260" w:lineRule="exact"/>
        <w:jc w:val="both"/>
        <w:rPr>
          <w:rFonts w:ascii="Arial" w:hAnsi="Arial"/>
          <w:b w:val="0"/>
          <w:bCs w:val="0"/>
        </w:rPr>
      </w:pPr>
      <w:r>
        <w:rPr>
          <w:rFonts w:ascii="Arial" w:hAnsi="Arial"/>
          <w:b w:val="0"/>
        </w:rPr>
        <w:t xml:space="preserve">La note d’application ANP113 explique en détail comment la boucle de retour d’information peut être compensée en utilisant un convertisseur </w:t>
      </w:r>
      <w:proofErr w:type="spellStart"/>
      <w:r>
        <w:rPr>
          <w:rFonts w:ascii="Arial" w:hAnsi="Arial"/>
          <w:b w:val="0"/>
        </w:rPr>
        <w:t>Flyback</w:t>
      </w:r>
      <w:proofErr w:type="spellEnd"/>
      <w:r>
        <w:rPr>
          <w:rFonts w:ascii="Arial" w:hAnsi="Arial"/>
          <w:b w:val="0"/>
        </w:rPr>
        <w:t xml:space="preserve"> commandé par le courant avec optocoupleur, et quels sont les aspects qui nécessitent une attention particulière. Ces derniers incluent, entre autres, que les paramètres de l’optocoupleur, tels que le CTR (rapport de transfert de courant), influencent la boucle de contrôle du circuit de compensation et doivent être pris en compte dans la conception du convertisseur </w:t>
      </w:r>
      <w:proofErr w:type="spellStart"/>
      <w:r>
        <w:rPr>
          <w:rFonts w:ascii="Arial" w:hAnsi="Arial"/>
          <w:b w:val="0"/>
        </w:rPr>
        <w:t>Flyback</w:t>
      </w:r>
      <w:proofErr w:type="spellEnd"/>
      <w:r>
        <w:rPr>
          <w:rFonts w:ascii="Arial" w:hAnsi="Arial"/>
          <w:b w:val="0"/>
        </w:rPr>
        <w:t>. La note d’application ANP113 met particulièrement l’accent sur les contraintes de conception imposées par les paramètres de l’op</w:t>
      </w:r>
      <w:r>
        <w:rPr>
          <w:rFonts w:ascii="Arial" w:hAnsi="Arial"/>
          <w:b w:val="0"/>
        </w:rPr>
        <w:t xml:space="preserve">tocoupleur et sur les solutions correspondantes. Les résultats de la validation d’un prototype de convertisseur </w:t>
      </w:r>
      <w:proofErr w:type="spellStart"/>
      <w:r>
        <w:rPr>
          <w:rFonts w:ascii="Arial" w:hAnsi="Arial"/>
          <w:b w:val="0"/>
        </w:rPr>
        <w:t>Flyback</w:t>
      </w:r>
      <w:proofErr w:type="spellEnd"/>
      <w:r>
        <w:rPr>
          <w:rFonts w:ascii="Arial" w:hAnsi="Arial"/>
          <w:b w:val="0"/>
        </w:rPr>
        <w:t xml:space="preserve"> de 30 W sont également inclus dans la note d’application.</w:t>
      </w:r>
    </w:p>
    <w:p w14:paraId="422D6C1E" w14:textId="77777777" w:rsidR="009D1F35" w:rsidRPr="0023476F" w:rsidRDefault="009D1F35" w:rsidP="009D1F35">
      <w:pPr>
        <w:pStyle w:val="Textkrper"/>
        <w:spacing w:before="120" w:after="120" w:line="260" w:lineRule="exact"/>
        <w:jc w:val="both"/>
        <w:rPr>
          <w:rFonts w:ascii="Arial" w:hAnsi="Arial"/>
          <w:b w:val="0"/>
          <w:bCs w:val="0"/>
        </w:rPr>
      </w:pPr>
    </w:p>
    <w:p w14:paraId="63999C3A" w14:textId="77777777" w:rsidR="009D1F35" w:rsidRPr="0023476F" w:rsidRDefault="009D1F35" w:rsidP="009D1F35">
      <w:pPr>
        <w:pBdr>
          <w:bottom w:val="single" w:sz="6" w:space="1" w:color="auto"/>
        </w:pBdr>
        <w:spacing w:after="120" w:line="280" w:lineRule="exact"/>
        <w:jc w:val="both"/>
        <w:rPr>
          <w:rFonts w:ascii="Arial" w:hAnsi="Arial" w:cs="Arial"/>
          <w:sz w:val="20"/>
          <w:szCs w:val="20"/>
        </w:rPr>
      </w:pPr>
    </w:p>
    <w:p w14:paraId="170B5B67" w14:textId="77777777" w:rsidR="009D1F35" w:rsidRPr="0023476F" w:rsidRDefault="009D1F35" w:rsidP="009D1F35">
      <w:pPr>
        <w:spacing w:after="120" w:line="280" w:lineRule="exact"/>
        <w:rPr>
          <w:rFonts w:ascii="Arial" w:hAnsi="Arial"/>
          <w:b/>
          <w:sz w:val="18"/>
        </w:rPr>
      </w:pPr>
    </w:p>
    <w:p w14:paraId="29BE3B56" w14:textId="77777777" w:rsidR="009D1F35" w:rsidRPr="0023476F" w:rsidRDefault="009D1F35" w:rsidP="009D1F35">
      <w:pPr>
        <w:spacing w:after="120" w:line="280" w:lineRule="exact"/>
        <w:rPr>
          <w:rFonts w:ascii="Arial" w:hAnsi="Arial" w:cs="Arial"/>
          <w:b/>
          <w:bCs/>
          <w:sz w:val="18"/>
          <w:szCs w:val="18"/>
        </w:rPr>
      </w:pPr>
      <w:r w:rsidRPr="0023476F">
        <w:rPr>
          <w:rFonts w:ascii="Arial" w:hAnsi="Arial"/>
          <w:b/>
          <w:sz w:val="18"/>
        </w:rPr>
        <w:t>Images disponibles</w:t>
      </w:r>
    </w:p>
    <w:p w14:paraId="01F71F93" w14:textId="77777777" w:rsidR="009D1F35" w:rsidRPr="0023476F" w:rsidRDefault="009D1F35" w:rsidP="009D1F35">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p w14:paraId="552AD701" w14:textId="77777777" w:rsidR="00DA4B2F" w:rsidRDefault="00DA4B2F">
      <w:pPr>
        <w:pStyle w:val="Textkrper"/>
        <w:spacing w:before="120" w:after="120" w:line="260" w:lineRule="exact"/>
        <w:jc w:val="both"/>
        <w:rPr>
          <w:rFonts w:ascii="Arial" w:hAnsi="Arial"/>
          <w:b w:val="0"/>
          <w:bCs w:val="0"/>
        </w:rPr>
      </w:pPr>
    </w:p>
    <w:p w14:paraId="7DD5C222" w14:textId="77777777" w:rsidR="00DA4B2F" w:rsidRDefault="00DA4B2F">
      <w:pPr>
        <w:pStyle w:val="Textkrper"/>
        <w:spacing w:before="120" w:after="120" w:line="26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A4B2F" w14:paraId="42741F16" w14:textId="77777777">
        <w:trPr>
          <w:trHeight w:val="1701"/>
        </w:trPr>
        <w:tc>
          <w:tcPr>
            <w:tcW w:w="3510" w:type="dxa"/>
          </w:tcPr>
          <w:p w14:paraId="0C859ED8" w14:textId="77777777" w:rsidR="00DA4B2F" w:rsidRDefault="000F45DC">
            <w:pPr>
              <w:pStyle w:val="txt"/>
              <w:rPr>
                <w:b/>
                <w:bCs/>
                <w:sz w:val="18"/>
              </w:rPr>
            </w:pPr>
            <w:r>
              <w:rPr>
                <w:noProof/>
                <w:lang w:eastAsia="fr-FR"/>
              </w:rPr>
              <w:drawing>
                <wp:inline distT="0" distB="0" distL="0" distR="0" wp14:anchorId="190D0F45" wp14:editId="250F8975">
                  <wp:extent cx="2169160" cy="1324610"/>
                  <wp:effectExtent l="0" t="0" r="0" b="0"/>
                  <wp:docPr id="2"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0"/>
                          <pic:cNvPicPr>
                            <a:picLocks noChangeAspect="1" noChangeArrowheads="1"/>
                          </pic:cNvPicPr>
                        </pic:nvPicPr>
                        <pic:blipFill>
                          <a:blip r:embed="rId10" cstate="print">
                            <a:extLst>
                              <a:ext uri="{28A0092B-C50C-407E-A947-70E740481C1C}">
                                <a14:useLocalDpi xmlns:a14="http://schemas.microsoft.com/office/drawing/2010/main" val="0"/>
                              </a:ext>
                            </a:extLst>
                          </a:blip>
                          <a:srcRect t="5397" b="5705"/>
                          <a:stretch>
                            <a:fillRect/>
                          </a:stretch>
                        </pic:blipFill>
                        <pic:spPr bwMode="auto">
                          <a:xfrm>
                            <a:off x="0" y="0"/>
                            <a:ext cx="2169160" cy="1324610"/>
                          </a:xfrm>
                          <a:prstGeom prst="rect">
                            <a:avLst/>
                          </a:prstGeom>
                          <a:noFill/>
                          <a:ln>
                            <a:noFill/>
                          </a:ln>
                        </pic:spPr>
                      </pic:pic>
                    </a:graphicData>
                  </a:graphic>
                </wp:inline>
              </w:drawing>
            </w:r>
          </w:p>
          <w:p w14:paraId="7D2B8E1F" w14:textId="77777777" w:rsidR="00DA4B2F" w:rsidRDefault="000F45DC">
            <w:pPr>
              <w:pStyle w:val="txt"/>
              <w:rPr>
                <w:b/>
                <w:bCs/>
                <w:sz w:val="18"/>
              </w:rPr>
            </w:pPr>
            <w:r>
              <w:rPr>
                <w:sz w:val="16"/>
              </w:rPr>
              <w:t xml:space="preserve">Source photo : Würth </w:t>
            </w:r>
            <w:proofErr w:type="spellStart"/>
            <w:r>
              <w:rPr>
                <w:sz w:val="16"/>
              </w:rPr>
              <w:t>Elektronik</w:t>
            </w:r>
            <w:proofErr w:type="spellEnd"/>
            <w:r>
              <w:rPr>
                <w:sz w:val="16"/>
              </w:rPr>
              <w:t xml:space="preserve"> </w:t>
            </w:r>
          </w:p>
          <w:p w14:paraId="0AF82A4F" w14:textId="04669A32" w:rsidR="00DA4B2F" w:rsidRDefault="000F45DC">
            <w:pPr>
              <w:autoSpaceDE w:val="0"/>
              <w:autoSpaceDN w:val="0"/>
              <w:adjustRightInd w:val="0"/>
              <w:rPr>
                <w:rFonts w:ascii="Arial" w:hAnsi="Arial" w:cs="Arial"/>
                <w:b/>
                <w:sz w:val="18"/>
                <w:szCs w:val="18"/>
              </w:rPr>
            </w:pPr>
            <w:r>
              <w:rPr>
                <w:rFonts w:ascii="Arial" w:hAnsi="Arial"/>
                <w:b/>
                <w:sz w:val="18"/>
              </w:rPr>
              <w:t xml:space="preserve">Boucle </w:t>
            </w:r>
            <w:r>
              <w:rPr>
                <w:rFonts w:ascii="Arial" w:hAnsi="Arial"/>
                <w:b/>
                <w:sz w:val="18"/>
              </w:rPr>
              <w:t>régulation</w:t>
            </w:r>
            <w:r>
              <w:rPr>
                <w:rFonts w:ascii="Arial" w:hAnsi="Arial"/>
                <w:b/>
                <w:sz w:val="18"/>
              </w:rPr>
              <w:t xml:space="preserve"> d’un convertisseur </w:t>
            </w:r>
            <w:proofErr w:type="spellStart"/>
            <w:r>
              <w:rPr>
                <w:rFonts w:ascii="Arial" w:hAnsi="Arial"/>
                <w:b/>
                <w:sz w:val="18"/>
              </w:rPr>
              <w:t>Flyback</w:t>
            </w:r>
            <w:proofErr w:type="spellEnd"/>
            <w:r>
              <w:rPr>
                <w:rFonts w:ascii="Arial" w:hAnsi="Arial"/>
                <w:b/>
                <w:sz w:val="18"/>
              </w:rPr>
              <w:t xml:space="preserve"> commandé par le courant avec optocoupleur - La note d’application ANP113 de Würth </w:t>
            </w:r>
            <w:proofErr w:type="spellStart"/>
            <w:r>
              <w:rPr>
                <w:rFonts w:ascii="Arial" w:hAnsi="Arial"/>
                <w:b/>
                <w:sz w:val="18"/>
              </w:rPr>
              <w:t>Elektronik</w:t>
            </w:r>
            <w:proofErr w:type="spellEnd"/>
            <w:r>
              <w:rPr>
                <w:rFonts w:ascii="Arial" w:hAnsi="Arial"/>
                <w:b/>
                <w:sz w:val="18"/>
              </w:rPr>
              <w:t xml:space="preserve"> explique ce qu’il faut prendre en compte lors de la conception.</w:t>
            </w:r>
          </w:p>
          <w:p w14:paraId="6D7BD3AA" w14:textId="77777777" w:rsidR="00DA4B2F" w:rsidRDefault="00DA4B2F">
            <w:pPr>
              <w:autoSpaceDE w:val="0"/>
              <w:autoSpaceDN w:val="0"/>
              <w:adjustRightInd w:val="0"/>
              <w:rPr>
                <w:rFonts w:ascii="Arial" w:hAnsi="Arial" w:cs="Arial"/>
                <w:b/>
                <w:bCs/>
                <w:sz w:val="18"/>
                <w:szCs w:val="18"/>
              </w:rPr>
            </w:pPr>
          </w:p>
        </w:tc>
      </w:tr>
    </w:tbl>
    <w:p w14:paraId="7BD9726B" w14:textId="77777777" w:rsidR="00DA4B2F" w:rsidRPr="00FC2CB7" w:rsidRDefault="00DA4B2F">
      <w:pPr>
        <w:pStyle w:val="PITextkrper"/>
        <w:rPr>
          <w:b/>
          <w:bCs/>
          <w:sz w:val="18"/>
          <w:szCs w:val="18"/>
        </w:rPr>
      </w:pPr>
    </w:p>
    <w:p w14:paraId="16EF3C8D" w14:textId="77777777" w:rsidR="009D1F35" w:rsidRPr="0023476F" w:rsidRDefault="009D1F35" w:rsidP="009D1F35">
      <w:pPr>
        <w:pStyle w:val="Textkrper"/>
        <w:spacing w:before="120" w:after="120" w:line="260" w:lineRule="exact"/>
        <w:jc w:val="both"/>
        <w:rPr>
          <w:rFonts w:ascii="Arial" w:hAnsi="Arial"/>
          <w:b w:val="0"/>
          <w:bCs w:val="0"/>
        </w:rPr>
      </w:pPr>
      <w:bookmarkStart w:id="0" w:name="_Hlk142468663"/>
    </w:p>
    <w:p w14:paraId="72F29EBF" w14:textId="77777777" w:rsidR="009D1F35" w:rsidRPr="0023476F" w:rsidRDefault="009D1F35" w:rsidP="009D1F35">
      <w:pPr>
        <w:pStyle w:val="PITextkrper"/>
        <w:pBdr>
          <w:top w:val="single" w:sz="4" w:space="1" w:color="auto"/>
        </w:pBdr>
        <w:spacing w:before="240"/>
        <w:rPr>
          <w:b/>
          <w:sz w:val="18"/>
          <w:szCs w:val="18"/>
        </w:rPr>
      </w:pPr>
    </w:p>
    <w:p w14:paraId="60C1080F" w14:textId="77777777" w:rsidR="009D1F35" w:rsidRPr="0023476F" w:rsidRDefault="009D1F35" w:rsidP="009D1F35">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685F1F42" w14:textId="77777777" w:rsidR="009D1F35" w:rsidRPr="0023476F" w:rsidRDefault="009D1F35" w:rsidP="009D1F35">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243F11D4" w14:textId="77777777" w:rsidR="009D1F35" w:rsidRDefault="009D1F35" w:rsidP="009D1F35">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229BA63E" w14:textId="77777777" w:rsidR="009D1F35" w:rsidRPr="0023476F" w:rsidRDefault="009D1F35" w:rsidP="009D1F35">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8456327" w14:textId="77777777" w:rsidR="009D1F35" w:rsidRPr="0023476F" w:rsidRDefault="009D1F35" w:rsidP="009D1F35">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28F9A5B6" w14:textId="77777777" w:rsidR="009D1F35" w:rsidRPr="0023476F" w:rsidRDefault="009D1F35" w:rsidP="009D1F35">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0C570918" w14:textId="77777777" w:rsidR="009D1F35" w:rsidRPr="0023476F" w:rsidRDefault="009D1F35" w:rsidP="009D1F35">
      <w:pPr>
        <w:pStyle w:val="Textkrper"/>
        <w:spacing w:before="120" w:after="120" w:line="276" w:lineRule="auto"/>
      </w:pPr>
      <w:r w:rsidRPr="0023476F">
        <w:rPr>
          <w:rFonts w:ascii="Arial" w:hAnsi="Arial"/>
        </w:rPr>
        <w:lastRenderedPageBreak/>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D1F35" w:rsidRPr="0023476F" w14:paraId="05520BBF" w14:textId="77777777" w:rsidTr="008576F2">
        <w:tc>
          <w:tcPr>
            <w:tcW w:w="3902" w:type="dxa"/>
            <w:shd w:val="clear" w:color="auto" w:fill="auto"/>
            <w:hideMark/>
          </w:tcPr>
          <w:p w14:paraId="02048642" w14:textId="77777777" w:rsidR="009D1F35" w:rsidRPr="0023476F" w:rsidRDefault="009D1F35" w:rsidP="008576F2">
            <w:pPr>
              <w:pStyle w:val="Textkrper"/>
              <w:autoSpaceDE/>
              <w:adjustRightInd/>
              <w:spacing w:before="120" w:after="120" w:line="276" w:lineRule="auto"/>
              <w:rPr>
                <w:b w:val="0"/>
                <w:bCs w:val="0"/>
              </w:rPr>
            </w:pPr>
            <w:r w:rsidRPr="0023476F">
              <w:br w:type="page"/>
            </w:r>
            <w:r w:rsidRPr="0023476F">
              <w:rPr>
                <w:b w:val="0"/>
                <w:bCs w:val="0"/>
              </w:rPr>
              <w:br w:type="page"/>
            </w:r>
          </w:p>
          <w:p w14:paraId="029F4FB9" w14:textId="77777777" w:rsidR="009D1F35" w:rsidRPr="0023476F" w:rsidRDefault="009D1F35" w:rsidP="008576F2">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34C21319" w14:textId="77777777" w:rsidR="009D1F35" w:rsidRPr="0023476F" w:rsidRDefault="009D1F35" w:rsidP="008576F2">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4637AF9" w14:textId="77777777" w:rsidR="009D1F35" w:rsidRPr="0023476F" w:rsidRDefault="009D1F35" w:rsidP="008576F2">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47716CF0" w14:textId="77777777" w:rsidR="009D1F35" w:rsidRPr="0023476F" w:rsidRDefault="009D1F35" w:rsidP="008576F2">
            <w:pPr>
              <w:spacing w:before="120" w:after="120" w:line="276" w:lineRule="auto"/>
              <w:rPr>
                <w:rFonts w:ascii="Arial" w:hAnsi="Arial" w:cs="Arial"/>
                <w:bCs/>
                <w:sz w:val="20"/>
              </w:rPr>
            </w:pPr>
            <w:r w:rsidRPr="0023476F">
              <w:rPr>
                <w:rFonts w:ascii="Arial" w:hAnsi="Arial" w:cs="Arial"/>
                <w:bCs/>
                <w:sz w:val="20"/>
              </w:rPr>
              <w:t>www.we-online.com</w:t>
            </w:r>
          </w:p>
          <w:p w14:paraId="656CFBCB" w14:textId="77777777" w:rsidR="009D1F35" w:rsidRPr="0023476F" w:rsidRDefault="009D1F35" w:rsidP="008576F2">
            <w:pPr>
              <w:rPr>
                <w:rFonts w:ascii="Arial" w:hAnsi="Arial" w:cs="Arial"/>
                <w:sz w:val="20"/>
              </w:rPr>
            </w:pPr>
          </w:p>
          <w:p w14:paraId="210474F6" w14:textId="77777777" w:rsidR="009D1F35" w:rsidRPr="0023476F" w:rsidRDefault="009D1F35" w:rsidP="008576F2">
            <w:pPr>
              <w:rPr>
                <w:rFonts w:ascii="Arial" w:hAnsi="Arial" w:cs="Arial"/>
                <w:sz w:val="20"/>
              </w:rPr>
            </w:pPr>
          </w:p>
        </w:tc>
        <w:tc>
          <w:tcPr>
            <w:tcW w:w="3193" w:type="dxa"/>
            <w:shd w:val="clear" w:color="auto" w:fill="auto"/>
            <w:hideMark/>
          </w:tcPr>
          <w:p w14:paraId="4307CF84" w14:textId="77777777" w:rsidR="009D1F35" w:rsidRPr="0023476F" w:rsidRDefault="009D1F35" w:rsidP="008576F2">
            <w:pPr>
              <w:pStyle w:val="Textkrper"/>
              <w:tabs>
                <w:tab w:val="left" w:pos="1065"/>
              </w:tabs>
              <w:autoSpaceDE/>
              <w:adjustRightInd/>
              <w:spacing w:before="120" w:after="120" w:line="276" w:lineRule="auto"/>
              <w:rPr>
                <w:rFonts w:ascii="Arial" w:hAnsi="Arial"/>
              </w:rPr>
            </w:pPr>
          </w:p>
          <w:p w14:paraId="1DB0E61A" w14:textId="77777777" w:rsidR="009D1F35" w:rsidRPr="0023476F" w:rsidRDefault="009D1F35" w:rsidP="008576F2">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2678438C" w14:textId="77777777" w:rsidR="009D1F35" w:rsidRPr="0023476F" w:rsidRDefault="009D1F35" w:rsidP="008576F2">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6EC40C00" w14:textId="77777777" w:rsidR="009D1F35" w:rsidRPr="0023476F" w:rsidRDefault="009D1F35" w:rsidP="008576F2">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20D5A67" w14:textId="77777777" w:rsidR="009D1F35" w:rsidRPr="0023476F" w:rsidRDefault="009D1F35" w:rsidP="008576F2">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37994846" w14:textId="77777777" w:rsidR="009D1F35" w:rsidRPr="0023476F" w:rsidRDefault="009D1F35" w:rsidP="009D1F35">
      <w:pPr>
        <w:pStyle w:val="Textkrper"/>
        <w:spacing w:before="120" w:after="120" w:line="276" w:lineRule="auto"/>
      </w:pPr>
    </w:p>
    <w:p w14:paraId="6007747F" w14:textId="77777777" w:rsidR="00DA4B2F" w:rsidRPr="00FC2CB7" w:rsidRDefault="00DA4B2F">
      <w:pPr>
        <w:pStyle w:val="Textkrper"/>
        <w:spacing w:before="120" w:after="120" w:line="260" w:lineRule="exact"/>
        <w:jc w:val="both"/>
        <w:rPr>
          <w:rFonts w:ascii="Calibri" w:hAnsi="Calibri" w:cs="Calibri"/>
          <w:sz w:val="22"/>
          <w:szCs w:val="22"/>
        </w:rPr>
      </w:pPr>
    </w:p>
    <w:sectPr w:rsidR="00DA4B2F" w:rsidRPr="00FC2CB7">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FC3B" w14:textId="77777777" w:rsidR="00DA4B2F" w:rsidRDefault="000F45DC">
      <w:r>
        <w:separator/>
      </w:r>
    </w:p>
  </w:endnote>
  <w:endnote w:type="continuationSeparator" w:id="0">
    <w:p w14:paraId="6D5DC729" w14:textId="77777777" w:rsidR="00DA4B2F" w:rsidRDefault="000F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5DFA" w14:textId="0CA8B4F8" w:rsidR="00DA4B2F" w:rsidRDefault="000F45D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WTH1PI1324</w:t>
    </w:r>
    <w:r w:rsidR="00FC2CB7">
      <w:rPr>
        <w:rFonts w:ascii="Arial" w:hAnsi="Arial" w:cs="Arial"/>
        <w:snapToGrid w:val="0"/>
        <w:sz w:val="16"/>
      </w:rPr>
      <w:t>_fr</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45FD" w14:textId="77777777" w:rsidR="00DA4B2F" w:rsidRDefault="000F45DC">
      <w:r>
        <w:separator/>
      </w:r>
    </w:p>
  </w:footnote>
  <w:footnote w:type="continuationSeparator" w:id="0">
    <w:p w14:paraId="7BA9B440" w14:textId="77777777" w:rsidR="00DA4B2F" w:rsidRDefault="000F4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40D4" w14:textId="77777777" w:rsidR="00DA4B2F" w:rsidRDefault="000F45DC">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42538D98" wp14:editId="1A6BD69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4607968">
    <w:abstractNumId w:val="4"/>
  </w:num>
  <w:num w:numId="2" w16cid:durableId="902565087">
    <w:abstractNumId w:val="1"/>
  </w:num>
  <w:num w:numId="3" w16cid:durableId="385690876">
    <w:abstractNumId w:val="2"/>
  </w:num>
  <w:num w:numId="4" w16cid:durableId="482892073">
    <w:abstractNumId w:val="3"/>
  </w:num>
  <w:num w:numId="5" w16cid:durableId="1351375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B2F"/>
    <w:rsid w:val="000F45DC"/>
    <w:rsid w:val="009D1F35"/>
    <w:rsid w:val="00DA4B2F"/>
    <w:rsid w:val="00FC2C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4ACC9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13-feedback-loop-compens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40B9-D226-43C5-9F20-953AF531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3971</Characters>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4565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2023-10-23T08:26:00Z</dcterms:created>
  <dcterms:modified xsi:type="dcterms:W3CDTF">2024-02-12T15:34:00Z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