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55C9" w14:textId="77777777" w:rsidR="003D14F1" w:rsidRDefault="008E7F6C">
      <w:pPr>
        <w:pStyle w:val="berschrift1"/>
        <w:spacing w:before="720" w:after="720" w:line="260" w:lineRule="exact"/>
        <w:rPr>
          <w:sz w:val="20"/>
        </w:rPr>
      </w:pPr>
      <w:r>
        <w:rPr>
          <w:sz w:val="20"/>
        </w:rPr>
        <w:t>COMUNICADO DE PRENSA</w:t>
      </w:r>
    </w:p>
    <w:p w14:paraId="14C9D19F" w14:textId="77777777" w:rsidR="003D14F1" w:rsidRDefault="008E7F6C">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publica una Nota de Aplicación sobre los MLCC</w:t>
      </w:r>
    </w:p>
    <w:p w14:paraId="1D7B6CD2" w14:textId="77777777" w:rsidR="003D14F1" w:rsidRDefault="008E7F6C">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Ferroelectricidad y la dependencia de la capacidad con la tensión</w:t>
      </w:r>
    </w:p>
    <w:p w14:paraId="230A86A3" w14:textId="45CD1889" w:rsidR="003D14F1" w:rsidRDefault="008E7F6C">
      <w:pPr>
        <w:pStyle w:val="Textkrper"/>
        <w:spacing w:before="120" w:after="120" w:line="260" w:lineRule="exact"/>
        <w:jc w:val="both"/>
        <w:rPr>
          <w:rFonts w:ascii="Arial" w:hAnsi="Arial"/>
          <w:color w:val="000000"/>
        </w:rPr>
      </w:pPr>
      <w:r>
        <w:rPr>
          <w:rFonts w:ascii="Arial" w:hAnsi="Arial"/>
          <w:color w:val="000000"/>
        </w:rPr>
        <w:t xml:space="preserve">Waldenburg (Alemania), </w:t>
      </w:r>
      <w:r w:rsidR="00477772" w:rsidRPr="00477772">
        <w:rPr>
          <w:rFonts w:ascii="Arial" w:hAnsi="Arial"/>
          <w:color w:val="000000"/>
        </w:rPr>
        <w:t>6 de diciembre de 2023</w:t>
      </w:r>
      <w:r w:rsidR="00477772">
        <w:rPr>
          <w:rFonts w:ascii="Arial" w:hAnsi="Arial"/>
          <w:color w:val="000000"/>
        </w:rPr>
        <w:t xml:space="preserve"> </w:t>
      </w:r>
      <w:r>
        <w:rPr>
          <w:rFonts w:ascii="Arial" w:hAnsi="Arial"/>
          <w:color w:val="000000"/>
        </w:rPr>
        <w:t>– Würth Elektronik ha implementado el comportamiento de la capacidad con la tensión de los condensadores cerámicos multicapa (MLCC) en los archivos LTspice de sus productos. La Nota de Aplicación "</w:t>
      </w:r>
      <w:r w:rsidR="00477772">
        <w:fldChar w:fldCharType="begin"/>
      </w:r>
      <w:r w:rsidR="00477772">
        <w:instrText>HYPERLINK "https://www.we-online.com/components/media/o753710v410%20ANP114a_Polarization%20DC%20Bias%20MLCC_EN.pdf"</w:instrText>
      </w:r>
      <w:r w:rsidR="00477772">
        <w:fldChar w:fldCharType="separate"/>
      </w:r>
      <w:r>
        <w:rPr>
          <w:rStyle w:val="Hyperlink"/>
          <w:rFonts w:ascii="Arial" w:hAnsi="Arial"/>
        </w:rPr>
        <w:t>ANP114</w:t>
      </w:r>
      <w:r w:rsidR="00477772">
        <w:rPr>
          <w:rStyle w:val="Hyperlink"/>
          <w:rFonts w:ascii="Arial" w:hAnsi="Arial"/>
        </w:rPr>
        <w:fldChar w:fldCharType="end"/>
      </w:r>
      <w:r>
        <w:rPr>
          <w:rFonts w:ascii="Arial" w:hAnsi="Arial"/>
          <w:color w:val="000000"/>
        </w:rPr>
        <w:t>" del fabricante de componentes electrónicos y electromecánicos aborda el desarrollo de modelos para condensadores cerámicos multicapa de clase 2 y explica su dependencia de la tensión y frecuencia. De este modo, el uso de los MLCC para requisitos como los de los circuitos de filtrado se simplifica considerablemente para los diseñadores.</w:t>
      </w:r>
    </w:p>
    <w:p w14:paraId="65DBE697" w14:textId="77777777" w:rsidR="003D14F1" w:rsidRDefault="008E7F6C">
      <w:pPr>
        <w:pStyle w:val="Textkrper"/>
        <w:spacing w:before="120" w:after="120" w:line="260" w:lineRule="exact"/>
        <w:jc w:val="both"/>
        <w:rPr>
          <w:rFonts w:ascii="Arial" w:hAnsi="Arial"/>
          <w:b w:val="0"/>
          <w:bCs w:val="0"/>
        </w:rPr>
      </w:pPr>
      <w:r>
        <w:rPr>
          <w:rFonts w:ascii="Arial" w:hAnsi="Arial"/>
          <w:b w:val="0"/>
        </w:rPr>
        <w:t>Los condensadores cerámicos multicapa (MLCC) son componentes electrónicos que presentan la propiedad de la ferroelectricidad. Pueden mantener una polarización eléctrica permanente incluso sin un campo eléctrico externo, lo que da lugar a una capacidad dependiente de la tensión. La presente Nota de Aplicación arroja luz sobre la dependencia de la tensión y la frecuencia de los MLCC. La guía comienza con una introducción al mundo de la ferroelectricidad y, a continuación, presenta un modelo matemático para el comportamiento capacidad versus tensión de los MLCC cerámicos a partir de un modelo de polarización dipolar. Así los parámetros del modelo se reducen a dos parámetros de ajuste.</w:t>
      </w:r>
    </w:p>
    <w:p w14:paraId="402A24B8" w14:textId="77777777" w:rsidR="003D14F1" w:rsidRDefault="008E7F6C">
      <w:pPr>
        <w:pStyle w:val="Textkrper"/>
        <w:spacing w:before="120" w:after="120" w:line="260" w:lineRule="exact"/>
        <w:jc w:val="both"/>
        <w:rPr>
          <w:rFonts w:ascii="Arial" w:hAnsi="Arial"/>
        </w:rPr>
      </w:pPr>
      <w:r>
        <w:rPr>
          <w:rFonts w:ascii="Arial" w:hAnsi="Arial"/>
        </w:rPr>
        <w:t>Modelo probado por mediciones</w:t>
      </w:r>
    </w:p>
    <w:p w14:paraId="2BCF75F8" w14:textId="44D9AD39" w:rsidR="003D14F1" w:rsidRDefault="008E7F6C">
      <w:pPr>
        <w:pStyle w:val="Textkrper"/>
        <w:spacing w:before="120" w:after="120" w:line="260" w:lineRule="exact"/>
        <w:jc w:val="both"/>
        <w:rPr>
          <w:rFonts w:ascii="Arial" w:hAnsi="Arial"/>
          <w:b w:val="0"/>
          <w:bCs w:val="0"/>
        </w:rPr>
      </w:pPr>
      <w:r>
        <w:rPr>
          <w:rFonts w:ascii="Arial" w:hAnsi="Arial"/>
          <w:b w:val="0"/>
        </w:rPr>
        <w:t>A fin de demostrar su idoneidad práctica, se realizaron amplias mediciones en una selección de MLCC del portfolio de Würth Elektronik. Dado que la integral del modelo matemático capacidad-tensión solo contiene expresiones trigonométricas básicas, puede implementarse fácilmente en un software que requiera funciones de carga en lugar de capacidad, por ejemplo, el software de simulación LTspice. El método presentado también resulta muy útil para describir el espectro de capacidad de los MLCC bajo diferentes tensiones continuas.</w:t>
      </w:r>
    </w:p>
    <w:p w14:paraId="50ED7DBD" w14:textId="77777777" w:rsidR="003D14F1" w:rsidRDefault="008E7F6C">
      <w:pPr>
        <w:pStyle w:val="Textkrper"/>
        <w:spacing w:before="120" w:after="120" w:line="260" w:lineRule="exact"/>
        <w:jc w:val="both"/>
        <w:rPr>
          <w:rFonts w:ascii="Arial" w:hAnsi="Arial"/>
          <w:b w:val="0"/>
        </w:rPr>
      </w:pPr>
      <w:r>
        <w:rPr>
          <w:rFonts w:ascii="Arial" w:hAnsi="Arial"/>
          <w:b w:val="0"/>
        </w:rPr>
        <w:t xml:space="preserve">Contenido: </w:t>
      </w:r>
    </w:p>
    <w:p w14:paraId="41FDA2E9" w14:textId="77777777" w:rsidR="003D14F1" w:rsidRDefault="008E7F6C">
      <w:pPr>
        <w:pStyle w:val="Textkrper"/>
        <w:spacing w:before="120" w:after="120" w:line="260" w:lineRule="exact"/>
        <w:ind w:firstLine="708"/>
        <w:jc w:val="both"/>
        <w:rPr>
          <w:rFonts w:ascii="Arial" w:hAnsi="Arial"/>
          <w:b w:val="0"/>
        </w:rPr>
      </w:pPr>
      <w:r>
        <w:rPr>
          <w:rFonts w:ascii="Arial" w:hAnsi="Arial"/>
          <w:b w:val="0"/>
        </w:rPr>
        <w:t>• Introducción a la ferroelectricidad de los condensadores</w:t>
      </w:r>
    </w:p>
    <w:p w14:paraId="3A5FAA06" w14:textId="77777777" w:rsidR="003D14F1" w:rsidRDefault="008E7F6C">
      <w:pPr>
        <w:pStyle w:val="Textkrper"/>
        <w:spacing w:before="120" w:after="120" w:line="260" w:lineRule="exact"/>
        <w:ind w:firstLine="708"/>
        <w:jc w:val="both"/>
        <w:rPr>
          <w:rFonts w:ascii="Arial" w:hAnsi="Arial"/>
          <w:b w:val="0"/>
        </w:rPr>
      </w:pPr>
      <w:r>
        <w:rPr>
          <w:rFonts w:ascii="Arial" w:hAnsi="Arial"/>
          <w:b w:val="0"/>
        </w:rPr>
        <w:t>• Interpretación de las mediciones de capacidad-tensión</w:t>
      </w:r>
    </w:p>
    <w:p w14:paraId="030A78CE" w14:textId="77777777" w:rsidR="003D14F1" w:rsidRDefault="008E7F6C">
      <w:pPr>
        <w:pStyle w:val="Textkrper"/>
        <w:spacing w:before="120" w:after="120" w:line="260" w:lineRule="exact"/>
        <w:ind w:firstLine="708"/>
        <w:jc w:val="both"/>
        <w:rPr>
          <w:rFonts w:ascii="Arial" w:hAnsi="Arial"/>
          <w:b w:val="0"/>
        </w:rPr>
      </w:pPr>
      <w:r>
        <w:rPr>
          <w:rFonts w:ascii="Arial" w:hAnsi="Arial"/>
          <w:b w:val="0"/>
        </w:rPr>
        <w:t>• Modelo matemático de la polarización ferroeléctrica</w:t>
      </w:r>
    </w:p>
    <w:p w14:paraId="43C93B65" w14:textId="77777777" w:rsidR="003D14F1" w:rsidRDefault="008E7F6C">
      <w:pPr>
        <w:pStyle w:val="Textkrper"/>
        <w:spacing w:before="120" w:after="120" w:line="260" w:lineRule="exact"/>
        <w:ind w:firstLine="708"/>
        <w:jc w:val="both"/>
        <w:rPr>
          <w:rFonts w:ascii="Arial" w:hAnsi="Arial"/>
          <w:b w:val="0"/>
        </w:rPr>
      </w:pPr>
      <w:r>
        <w:rPr>
          <w:rFonts w:ascii="Arial" w:hAnsi="Arial"/>
          <w:b w:val="0"/>
        </w:rPr>
        <w:t>• Mediciones experimentales y condiciones límite</w:t>
      </w:r>
    </w:p>
    <w:p w14:paraId="19F87341" w14:textId="77777777" w:rsidR="003D14F1" w:rsidRDefault="008E7F6C">
      <w:pPr>
        <w:pStyle w:val="Textkrper"/>
        <w:spacing w:before="120" w:after="120" w:line="260" w:lineRule="exact"/>
        <w:ind w:firstLine="708"/>
        <w:jc w:val="both"/>
        <w:rPr>
          <w:rFonts w:ascii="Arial" w:hAnsi="Arial"/>
          <w:b w:val="0"/>
        </w:rPr>
      </w:pPr>
      <w:r>
        <w:rPr>
          <w:rFonts w:ascii="Arial" w:hAnsi="Arial"/>
          <w:b w:val="0"/>
        </w:rPr>
        <w:lastRenderedPageBreak/>
        <w:t>• Implementación de un modelo dependiente de la frecuencia y la tensión</w:t>
      </w:r>
    </w:p>
    <w:p w14:paraId="6B6A3BC2" w14:textId="3E3A4EE5" w:rsidR="003D14F1" w:rsidRDefault="008E7F6C">
      <w:pPr>
        <w:pStyle w:val="Textkrper"/>
        <w:spacing w:before="120" w:after="120" w:line="260" w:lineRule="exact"/>
        <w:jc w:val="both"/>
        <w:rPr>
          <w:rFonts w:ascii="Arial" w:hAnsi="Arial"/>
          <w:b w:val="0"/>
          <w:bCs w:val="0"/>
        </w:rPr>
      </w:pPr>
      <w:r>
        <w:rPr>
          <w:rFonts w:ascii="Arial" w:hAnsi="Arial"/>
          <w:b w:val="0"/>
        </w:rPr>
        <w:t xml:space="preserve">La Nota de Aplicación forma parte de una extensa recopilación de publicaciones sobre el complejo tema de los condensadores cerámicos multicapa y puede descargarse en: </w:t>
      </w:r>
      <w:r w:rsidR="00477772">
        <w:fldChar w:fldCharType="begin"/>
      </w:r>
      <w:r w:rsidR="00102933">
        <w:instrText>HYPERLINK "https://www.we-online.com/en/support/knowledge/application-notes?d=anp114_voltage_and_frequency_dependence_of_ferroelectric_class_2_multilayer_ceramic_capacitors"</w:instrText>
      </w:r>
      <w:r w:rsidR="00477772">
        <w:fldChar w:fldCharType="separate"/>
      </w:r>
      <w:r>
        <w:rPr>
          <w:rStyle w:val="Hyperlink"/>
          <w:rFonts w:ascii="Arial" w:hAnsi="Arial"/>
          <w:b w:val="0"/>
        </w:rPr>
        <w:t>www.we-online.com/ANP114</w:t>
      </w:r>
      <w:r w:rsidR="00477772">
        <w:rPr>
          <w:rStyle w:val="Hyperlink"/>
          <w:rFonts w:ascii="Arial" w:hAnsi="Arial"/>
          <w:b w:val="0"/>
        </w:rPr>
        <w:fldChar w:fldCharType="end"/>
      </w:r>
    </w:p>
    <w:p w14:paraId="658375B0" w14:textId="77777777" w:rsidR="003D14F1" w:rsidRDefault="003D14F1">
      <w:pPr>
        <w:pStyle w:val="Textkrper"/>
        <w:spacing w:before="120" w:after="120" w:line="260" w:lineRule="exact"/>
        <w:jc w:val="both"/>
        <w:rPr>
          <w:rFonts w:ascii="Arial" w:hAnsi="Arial"/>
          <w:b w:val="0"/>
          <w:bCs w:val="0"/>
        </w:rPr>
      </w:pPr>
    </w:p>
    <w:p w14:paraId="7F46D6A5" w14:textId="77777777" w:rsidR="003D14F1" w:rsidRDefault="003D14F1">
      <w:pPr>
        <w:pStyle w:val="Textkrper"/>
        <w:spacing w:before="120" w:after="120" w:line="260" w:lineRule="exact"/>
        <w:jc w:val="both"/>
        <w:rPr>
          <w:rFonts w:ascii="Arial" w:hAnsi="Arial"/>
          <w:b w:val="0"/>
          <w:bCs w:val="0"/>
        </w:rPr>
      </w:pPr>
    </w:p>
    <w:p w14:paraId="5BA585DB" w14:textId="77777777" w:rsidR="003D14F1" w:rsidRDefault="003D14F1">
      <w:pPr>
        <w:pStyle w:val="PITextkrper"/>
        <w:pBdr>
          <w:top w:val="single" w:sz="4" w:space="1" w:color="auto"/>
        </w:pBdr>
        <w:spacing w:before="240"/>
        <w:rPr>
          <w:b/>
          <w:sz w:val="18"/>
          <w:szCs w:val="18"/>
        </w:rPr>
      </w:pPr>
    </w:p>
    <w:p w14:paraId="0281ABD8" w14:textId="77777777" w:rsidR="00477772" w:rsidRPr="001E1BD8" w:rsidRDefault="00477772" w:rsidP="00477772">
      <w:pPr>
        <w:spacing w:after="120" w:line="280" w:lineRule="exact"/>
        <w:rPr>
          <w:rFonts w:ascii="Arial" w:hAnsi="Arial" w:cs="Arial"/>
          <w:b/>
          <w:bCs/>
          <w:sz w:val="18"/>
          <w:szCs w:val="18"/>
        </w:rPr>
      </w:pPr>
      <w:r w:rsidRPr="001E1BD8">
        <w:rPr>
          <w:rFonts w:ascii="Arial" w:hAnsi="Arial"/>
          <w:b/>
          <w:sz w:val="18"/>
        </w:rPr>
        <w:t>Imágenes disponibles</w:t>
      </w:r>
    </w:p>
    <w:p w14:paraId="43AA2ABA" w14:textId="77777777" w:rsidR="00477772" w:rsidRPr="001E1BD8" w:rsidRDefault="00477772" w:rsidP="00477772">
      <w:pPr>
        <w:spacing w:after="120" w:line="280" w:lineRule="exact"/>
        <w:rPr>
          <w:rStyle w:val="Hyperlink"/>
          <w:rFonts w:ascii="Arial" w:hAnsi="Arial"/>
          <w:sz w:val="18"/>
        </w:rPr>
      </w:pPr>
      <w:r w:rsidRPr="001E1BD8">
        <w:rPr>
          <w:rFonts w:ascii="Arial" w:hAnsi="Arial"/>
          <w:sz w:val="18"/>
        </w:rPr>
        <w:t>Las siguientes imágenes se encuentran disponibles para impresión y descarga en:</w:t>
      </w:r>
      <w:r w:rsidRPr="001E1BD8">
        <w:t xml:space="preserve"> </w:t>
      </w:r>
      <w:hyperlink r:id="rId8" w:history="1">
        <w:r w:rsidRPr="004F0020">
          <w:rPr>
            <w:rStyle w:val="Hyperlink"/>
            <w:rFonts w:ascii="Arial" w:hAnsi="Arial" w:cs="Arial"/>
            <w:sz w:val="18"/>
            <w:szCs w:val="18"/>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rsidR="003D14F1" w14:paraId="7FABB05A" w14:textId="77777777">
        <w:trPr>
          <w:trHeight w:val="1701"/>
        </w:trPr>
        <w:tc>
          <w:tcPr>
            <w:tcW w:w="3510" w:type="dxa"/>
          </w:tcPr>
          <w:p w14:paraId="2569A4A9" w14:textId="77777777" w:rsidR="003D14F1" w:rsidRDefault="008E7F6C">
            <w:pPr>
              <w:pStyle w:val="txt"/>
              <w:rPr>
                <w:b/>
                <w:bCs/>
                <w:sz w:val="18"/>
              </w:rPr>
            </w:pPr>
            <w:r>
              <w:rPr>
                <w:noProof/>
                <w:lang w:eastAsia="zh-TW"/>
              </w:rPr>
              <w:drawing>
                <wp:inline distT="0" distB="0" distL="0" distR="0" wp14:anchorId="31104402" wp14:editId="580DDE50">
                  <wp:extent cx="2139950" cy="2139950"/>
                  <wp:effectExtent l="0" t="0" r="0" b="0"/>
                  <wp:docPr id="4099634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Pr>
                <w:sz w:val="16"/>
              </w:rPr>
              <w:t xml:space="preserve">Fuente de la imagen: Würth Elektronik </w:t>
            </w:r>
          </w:p>
          <w:p w14:paraId="60DEA55C" w14:textId="77609E82" w:rsidR="003D14F1" w:rsidRDefault="008E7F6C">
            <w:pPr>
              <w:autoSpaceDE w:val="0"/>
              <w:autoSpaceDN w:val="0"/>
              <w:adjustRightInd w:val="0"/>
              <w:rPr>
                <w:rFonts w:ascii="Arial" w:hAnsi="Arial" w:cs="Arial"/>
                <w:b/>
                <w:sz w:val="18"/>
                <w:szCs w:val="18"/>
              </w:rPr>
            </w:pPr>
            <w:r>
              <w:rPr>
                <w:rFonts w:ascii="Arial" w:hAnsi="Arial"/>
                <w:b/>
                <w:sz w:val="18"/>
              </w:rPr>
              <w:t>Nota de aplicación que explica las bases de los archivos LTspice</w:t>
            </w:r>
          </w:p>
          <w:p w14:paraId="587A9C94" w14:textId="77777777" w:rsidR="003D14F1" w:rsidRDefault="003D14F1">
            <w:pPr>
              <w:autoSpaceDE w:val="0"/>
              <w:autoSpaceDN w:val="0"/>
              <w:adjustRightInd w:val="0"/>
              <w:rPr>
                <w:rFonts w:ascii="Arial" w:hAnsi="Arial" w:cs="Arial"/>
                <w:b/>
                <w:bCs/>
                <w:sz w:val="18"/>
                <w:szCs w:val="18"/>
              </w:rPr>
            </w:pPr>
          </w:p>
        </w:tc>
        <w:tc>
          <w:tcPr>
            <w:tcW w:w="3510" w:type="dxa"/>
          </w:tcPr>
          <w:p w14:paraId="72D5B1A7" w14:textId="77777777" w:rsidR="003D14F1" w:rsidRDefault="008E7F6C">
            <w:pPr>
              <w:pStyle w:val="txt"/>
              <w:rPr>
                <w:b/>
                <w:bCs/>
                <w:sz w:val="18"/>
              </w:rPr>
            </w:pPr>
            <w:r>
              <w:rPr>
                <w:noProof/>
                <w:lang w:eastAsia="zh-TW"/>
              </w:rPr>
              <w:drawing>
                <wp:inline distT="0" distB="0" distL="0" distR="0" wp14:anchorId="271677E2" wp14:editId="2401E442">
                  <wp:extent cx="2165350" cy="21653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5350" cy="2165350"/>
                          </a:xfrm>
                          <a:prstGeom prst="rect">
                            <a:avLst/>
                          </a:prstGeom>
                          <a:noFill/>
                          <a:ln>
                            <a:noFill/>
                          </a:ln>
                        </pic:spPr>
                      </pic:pic>
                    </a:graphicData>
                  </a:graphic>
                </wp:inline>
              </w:drawing>
            </w:r>
            <w:r>
              <w:rPr>
                <w:sz w:val="16"/>
              </w:rPr>
              <w:t xml:space="preserve">Fuente de la imagen: Würth Elektronik </w:t>
            </w:r>
          </w:p>
          <w:p w14:paraId="2B964B71" w14:textId="77777777" w:rsidR="003D14F1" w:rsidRDefault="008E7F6C" w:rsidP="00477772">
            <w:pPr>
              <w:autoSpaceDE w:val="0"/>
              <w:autoSpaceDN w:val="0"/>
              <w:adjustRightInd w:val="0"/>
              <w:rPr>
                <w:rFonts w:ascii="Arial" w:hAnsi="Arial"/>
                <w:b/>
                <w:sz w:val="18"/>
              </w:rPr>
            </w:pPr>
            <w:r>
              <w:rPr>
                <w:rFonts w:ascii="Arial" w:hAnsi="Arial"/>
                <w:b/>
                <w:sz w:val="18"/>
              </w:rPr>
              <w:t>Würth Elektronik ofrece un amplio portfolio de condensadores cerámicos multicapa (MLCC)</w:t>
            </w:r>
          </w:p>
          <w:p w14:paraId="19B63F6B" w14:textId="6D5266E1" w:rsidR="00477772" w:rsidRDefault="00477772" w:rsidP="00477772">
            <w:pPr>
              <w:autoSpaceDE w:val="0"/>
              <w:autoSpaceDN w:val="0"/>
              <w:adjustRightInd w:val="0"/>
            </w:pPr>
          </w:p>
        </w:tc>
      </w:tr>
    </w:tbl>
    <w:p w14:paraId="78996DA5" w14:textId="77777777" w:rsidR="003D14F1" w:rsidRDefault="003D14F1">
      <w:pPr>
        <w:pStyle w:val="PITextkrper"/>
        <w:rPr>
          <w:b/>
          <w:bCs/>
          <w:sz w:val="18"/>
          <w:szCs w:val="18"/>
        </w:rPr>
      </w:pPr>
    </w:p>
    <w:p w14:paraId="424C53A2" w14:textId="77777777" w:rsidR="00477772" w:rsidRPr="001E1BD8" w:rsidRDefault="00477772" w:rsidP="00477772">
      <w:pPr>
        <w:pStyle w:val="Textkrper"/>
        <w:spacing w:before="120" w:after="120" w:line="260" w:lineRule="exact"/>
        <w:jc w:val="both"/>
        <w:rPr>
          <w:rFonts w:ascii="Arial" w:hAnsi="Arial"/>
          <w:b w:val="0"/>
          <w:bCs w:val="0"/>
        </w:rPr>
      </w:pPr>
    </w:p>
    <w:p w14:paraId="05315315" w14:textId="77777777" w:rsidR="00477772" w:rsidRPr="001E1BD8" w:rsidRDefault="00477772" w:rsidP="00477772">
      <w:pPr>
        <w:pStyle w:val="PITextkrper"/>
        <w:pBdr>
          <w:top w:val="single" w:sz="4" w:space="1" w:color="auto"/>
        </w:pBdr>
        <w:spacing w:before="240"/>
        <w:rPr>
          <w:b/>
          <w:sz w:val="18"/>
          <w:szCs w:val="18"/>
        </w:rPr>
      </w:pPr>
    </w:p>
    <w:p w14:paraId="504D0F50" w14:textId="77777777" w:rsidR="00477772" w:rsidRPr="001E1BD8" w:rsidRDefault="00477772" w:rsidP="00477772">
      <w:pPr>
        <w:pStyle w:val="Textkrper"/>
        <w:spacing w:before="120" w:after="120" w:line="276" w:lineRule="auto"/>
        <w:jc w:val="both"/>
        <w:rPr>
          <w:rFonts w:ascii="Arial" w:hAnsi="Arial"/>
        </w:rPr>
      </w:pPr>
      <w:bookmarkStart w:id="0" w:name="_Hlk529547556"/>
      <w:bookmarkStart w:id="1" w:name="_Hlk530469551"/>
      <w:r w:rsidRPr="001E1BD8">
        <w:rPr>
          <w:rFonts w:ascii="Arial" w:hAnsi="Arial"/>
        </w:rPr>
        <w:t xml:space="preserve">Acerca del Grupo Würth Elektronik eiSos </w:t>
      </w:r>
    </w:p>
    <w:bookmarkEnd w:id="0"/>
    <w:p w14:paraId="3751633A" w14:textId="77777777" w:rsidR="00477772" w:rsidRPr="00D52616" w:rsidRDefault="00477772" w:rsidP="00477772">
      <w:pPr>
        <w:pStyle w:val="Textkrper"/>
        <w:spacing w:before="120" w:after="120" w:line="276" w:lineRule="auto"/>
        <w:jc w:val="both"/>
        <w:rPr>
          <w:rFonts w:ascii="Arial" w:hAnsi="Arial"/>
          <w:b w:val="0"/>
        </w:rPr>
      </w:pPr>
      <w:r w:rsidRPr="00D52616">
        <w:rPr>
          <w:rFonts w:ascii="Arial" w:hAnsi="Arial"/>
          <w:b w:val="0"/>
        </w:rPr>
        <w:t>El Grupo Würth Elektronik eiSos es un fabricante de componentes electrónicos y electromecánicos para la industria electrónica</w:t>
      </w:r>
      <w:r>
        <w:rPr>
          <w:rFonts w:ascii="Arial" w:hAnsi="Arial"/>
          <w:b w:val="0"/>
        </w:rPr>
        <w:t xml:space="preserve">, que aporta soluciones electrónicas innovadoras con su liderazgo </w:t>
      </w:r>
      <w:r w:rsidRPr="00D52616">
        <w:rPr>
          <w:rFonts w:ascii="Arial" w:hAnsi="Arial"/>
          <w:b w:val="0"/>
        </w:rPr>
        <w:t>tecnológico</w:t>
      </w:r>
      <w:r>
        <w:rPr>
          <w:rFonts w:ascii="Arial" w:hAnsi="Arial"/>
          <w:b w:val="0"/>
        </w:rPr>
        <w:t>.</w:t>
      </w:r>
      <w:r w:rsidRPr="00D52616">
        <w:rPr>
          <w:rFonts w:ascii="Arial" w:hAnsi="Arial"/>
          <w:b w:val="0"/>
        </w:rPr>
        <w:t xml:space="preserve"> Würth Elektronik eiSos es uno de los mayores fabricantes europeos de componentes pasivos y opera en 50 países. Sus plantas de producción en Europa, Asia y América del Norte suministran productos a un creciente número de clientes en todo el mundo.</w:t>
      </w:r>
    </w:p>
    <w:p w14:paraId="5081758A" w14:textId="77777777" w:rsidR="00477772" w:rsidRDefault="00477772" w:rsidP="00477772">
      <w:pPr>
        <w:pStyle w:val="Textkrper"/>
        <w:spacing w:before="120" w:after="120" w:line="276" w:lineRule="auto"/>
        <w:jc w:val="both"/>
        <w:rPr>
          <w:rFonts w:ascii="Arial" w:hAnsi="Arial"/>
          <w:b w:val="0"/>
          <w:bCs w:val="0"/>
        </w:rPr>
      </w:pPr>
    </w:p>
    <w:p w14:paraId="05A39C4B" w14:textId="77777777" w:rsidR="00477772" w:rsidRDefault="00477772">
      <w:pPr>
        <w:rPr>
          <w:rFonts w:ascii="Arial" w:hAnsi="Arial" w:cs="Arial"/>
          <w:sz w:val="20"/>
          <w:szCs w:val="20"/>
        </w:rPr>
      </w:pPr>
      <w:r>
        <w:rPr>
          <w:rFonts w:ascii="Arial" w:hAnsi="Arial"/>
          <w:b/>
          <w:bCs/>
        </w:rPr>
        <w:br w:type="page"/>
      </w:r>
    </w:p>
    <w:p w14:paraId="1EF37629" w14:textId="77777777" w:rsidR="00477772" w:rsidRDefault="00477772" w:rsidP="00477772">
      <w:pPr>
        <w:pStyle w:val="Textkrper"/>
        <w:spacing w:before="120" w:after="120" w:line="276" w:lineRule="auto"/>
        <w:jc w:val="both"/>
        <w:rPr>
          <w:rFonts w:ascii="Arial" w:hAnsi="Arial"/>
          <w:b w:val="0"/>
          <w:bCs w:val="0"/>
        </w:rPr>
      </w:pPr>
    </w:p>
    <w:p w14:paraId="485888E1" w14:textId="70AFAFAD" w:rsidR="00477772" w:rsidRPr="000E113C" w:rsidRDefault="00477772" w:rsidP="00477772">
      <w:pPr>
        <w:pStyle w:val="Textkrper"/>
        <w:spacing w:before="120" w:after="120" w:line="276" w:lineRule="auto"/>
        <w:jc w:val="both"/>
        <w:rPr>
          <w:b w:val="0"/>
          <w:bCs w:val="0"/>
        </w:rPr>
      </w:pPr>
      <w:r w:rsidRPr="000E113C">
        <w:rPr>
          <w:rFonts w:ascii="Arial" w:hAnsi="Arial"/>
          <w:b w:val="0"/>
          <w:bCs w:val="0"/>
        </w:rPr>
        <w:t>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w:t>
      </w:r>
    </w:p>
    <w:p w14:paraId="0787ED4B" w14:textId="77777777" w:rsidR="00477772" w:rsidRDefault="00477772" w:rsidP="00477772">
      <w:pPr>
        <w:pStyle w:val="Textkrper"/>
        <w:spacing w:before="120" w:after="120" w:line="276" w:lineRule="auto"/>
        <w:jc w:val="both"/>
        <w:rPr>
          <w:rFonts w:ascii="Arial" w:hAnsi="Arial"/>
          <w:b w:val="0"/>
        </w:rPr>
      </w:pPr>
      <w:r>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04A709A7" w14:textId="77777777" w:rsidR="00477772" w:rsidRPr="00A853B3" w:rsidRDefault="00477772" w:rsidP="00477772">
      <w:pPr>
        <w:pStyle w:val="PITextkrper"/>
        <w:rPr>
          <w:sz w:val="18"/>
          <w:szCs w:val="18"/>
        </w:rPr>
      </w:pPr>
      <w:r w:rsidRPr="004F0020">
        <w:rPr>
          <w:bCs/>
          <w:sz w:val="20"/>
          <w:lang w:val="x-none" w:eastAsia="x-none"/>
        </w:rPr>
        <w:t xml:space="preserve">Würth Elektronik forma </w:t>
      </w:r>
      <w:proofErr w:type="spellStart"/>
      <w:r w:rsidRPr="004F0020">
        <w:rPr>
          <w:bCs/>
          <w:sz w:val="20"/>
          <w:lang w:val="x-none" w:eastAsia="x-none"/>
        </w:rPr>
        <w:t>parte</w:t>
      </w:r>
      <w:proofErr w:type="spellEnd"/>
      <w:r w:rsidRPr="004F0020">
        <w:rPr>
          <w:bCs/>
          <w:sz w:val="20"/>
          <w:lang w:val="x-none" w:eastAsia="x-none"/>
        </w:rPr>
        <w:t xml:space="preserve"> del </w:t>
      </w:r>
      <w:proofErr w:type="spellStart"/>
      <w:r w:rsidRPr="004F0020">
        <w:rPr>
          <w:bCs/>
          <w:sz w:val="20"/>
          <w:lang w:val="x-none" w:eastAsia="x-none"/>
        </w:rPr>
        <w:t>Grupo</w:t>
      </w:r>
      <w:proofErr w:type="spellEnd"/>
      <w:r w:rsidRPr="004F0020">
        <w:rPr>
          <w:bCs/>
          <w:sz w:val="20"/>
          <w:lang w:val="x-none" w:eastAsia="x-none"/>
        </w:rPr>
        <w:t xml:space="preserve"> Würth, </w:t>
      </w:r>
      <w:proofErr w:type="spellStart"/>
      <w:r w:rsidRPr="004F0020">
        <w:rPr>
          <w:bCs/>
          <w:sz w:val="20"/>
          <w:lang w:val="x-none" w:eastAsia="x-none"/>
        </w:rPr>
        <w:t>líder</w:t>
      </w:r>
      <w:proofErr w:type="spellEnd"/>
      <w:r w:rsidRPr="004F0020">
        <w:rPr>
          <w:bCs/>
          <w:sz w:val="20"/>
          <w:lang w:val="x-none" w:eastAsia="x-none"/>
        </w:rPr>
        <w:t xml:space="preserve"> del </w:t>
      </w:r>
      <w:proofErr w:type="spellStart"/>
      <w:r w:rsidRPr="004F0020">
        <w:rPr>
          <w:bCs/>
          <w:sz w:val="20"/>
          <w:lang w:val="x-none" w:eastAsia="x-none"/>
        </w:rPr>
        <w:t>mercado</w:t>
      </w:r>
      <w:proofErr w:type="spellEnd"/>
      <w:r w:rsidRPr="004F0020">
        <w:rPr>
          <w:bCs/>
          <w:sz w:val="20"/>
          <w:lang w:val="x-none" w:eastAsia="x-none"/>
        </w:rPr>
        <w:t xml:space="preserve"> </w:t>
      </w:r>
      <w:proofErr w:type="spellStart"/>
      <w:r w:rsidRPr="004F0020">
        <w:rPr>
          <w:bCs/>
          <w:sz w:val="20"/>
          <w:lang w:val="x-none" w:eastAsia="x-none"/>
        </w:rPr>
        <w:t>mundial</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desarrollo</w:t>
      </w:r>
      <w:proofErr w:type="spellEnd"/>
      <w:r w:rsidRPr="004F0020">
        <w:rPr>
          <w:bCs/>
          <w:sz w:val="20"/>
          <w:lang w:val="x-none" w:eastAsia="x-none"/>
        </w:rPr>
        <w:t xml:space="preserve">, la </w:t>
      </w:r>
      <w:proofErr w:type="spellStart"/>
      <w:r w:rsidRPr="004F0020">
        <w:rPr>
          <w:bCs/>
          <w:sz w:val="20"/>
          <w:lang w:val="x-none" w:eastAsia="x-none"/>
        </w:rPr>
        <w:t>fabricación</w:t>
      </w:r>
      <w:proofErr w:type="spellEnd"/>
      <w:r w:rsidRPr="004F0020">
        <w:rPr>
          <w:bCs/>
          <w:sz w:val="20"/>
          <w:lang w:val="x-none" w:eastAsia="x-none"/>
        </w:rPr>
        <w:t xml:space="preserve"> y la </w:t>
      </w:r>
      <w:proofErr w:type="spellStart"/>
      <w:r w:rsidRPr="004F0020">
        <w:rPr>
          <w:bCs/>
          <w:sz w:val="20"/>
          <w:lang w:val="x-none" w:eastAsia="x-none"/>
        </w:rPr>
        <w:t>distribución</w:t>
      </w:r>
      <w:proofErr w:type="spellEnd"/>
      <w:r w:rsidRPr="004F0020">
        <w:rPr>
          <w:bCs/>
          <w:sz w:val="20"/>
          <w:lang w:val="x-none" w:eastAsia="x-none"/>
        </w:rPr>
        <w:t xml:space="preserve"> de materiales de </w:t>
      </w:r>
      <w:proofErr w:type="spellStart"/>
      <w:r w:rsidRPr="004F0020">
        <w:rPr>
          <w:bCs/>
          <w:sz w:val="20"/>
          <w:lang w:val="x-none" w:eastAsia="x-none"/>
        </w:rPr>
        <w:t>montaje</w:t>
      </w:r>
      <w:proofErr w:type="spellEnd"/>
      <w:r w:rsidRPr="004F0020">
        <w:rPr>
          <w:bCs/>
          <w:sz w:val="20"/>
          <w:lang w:val="x-none" w:eastAsia="x-none"/>
        </w:rPr>
        <w:t xml:space="preserve"> y </w:t>
      </w:r>
      <w:proofErr w:type="spellStart"/>
      <w:r w:rsidRPr="004F0020">
        <w:rPr>
          <w:bCs/>
          <w:sz w:val="20"/>
          <w:lang w:val="x-none" w:eastAsia="x-none"/>
        </w:rPr>
        <w:t>fijación</w:t>
      </w:r>
      <w:proofErr w:type="spellEnd"/>
      <w:r w:rsidRPr="004F0020">
        <w:rPr>
          <w:bCs/>
          <w:sz w:val="20"/>
          <w:lang w:val="x-none" w:eastAsia="x-none"/>
        </w:rPr>
        <w:t xml:space="preserve">. La </w:t>
      </w:r>
      <w:proofErr w:type="spellStart"/>
      <w:r w:rsidRPr="004F0020">
        <w:rPr>
          <w:bCs/>
          <w:sz w:val="20"/>
          <w:lang w:val="x-none" w:eastAsia="x-none"/>
        </w:rPr>
        <w:t>empresa</w:t>
      </w:r>
      <w:proofErr w:type="spellEnd"/>
      <w:r w:rsidRPr="004F0020">
        <w:rPr>
          <w:bCs/>
          <w:sz w:val="20"/>
          <w:lang w:val="x-none" w:eastAsia="x-none"/>
        </w:rPr>
        <w:t xml:space="preserve"> </w:t>
      </w:r>
      <w:proofErr w:type="spellStart"/>
      <w:r w:rsidRPr="004F0020">
        <w:rPr>
          <w:bCs/>
          <w:sz w:val="20"/>
          <w:lang w:val="x-none" w:eastAsia="x-none"/>
        </w:rPr>
        <w:t>emplea</w:t>
      </w:r>
      <w:proofErr w:type="spellEnd"/>
      <w:r w:rsidRPr="004F0020">
        <w:rPr>
          <w:bCs/>
          <w:sz w:val="20"/>
          <w:lang w:val="x-none" w:eastAsia="x-none"/>
        </w:rPr>
        <w:t xml:space="preserve"> a 8</w:t>
      </w:r>
      <w:r w:rsidRPr="00A56EAD">
        <w:rPr>
          <w:bCs/>
          <w:sz w:val="20"/>
          <w:lang w:eastAsia="x-none"/>
        </w:rPr>
        <w:t>.2</w:t>
      </w:r>
      <w:r w:rsidRPr="004F0020">
        <w:rPr>
          <w:bCs/>
          <w:sz w:val="20"/>
          <w:lang w:val="x-none" w:eastAsia="x-none"/>
        </w:rPr>
        <w:t xml:space="preserve">00 </w:t>
      </w:r>
      <w:proofErr w:type="spellStart"/>
      <w:r w:rsidRPr="004F0020">
        <w:rPr>
          <w:bCs/>
          <w:sz w:val="20"/>
          <w:lang w:val="x-none" w:eastAsia="x-none"/>
        </w:rPr>
        <w:t>trabajadores</w:t>
      </w:r>
      <w:proofErr w:type="spellEnd"/>
      <w:r w:rsidRPr="004F0020">
        <w:rPr>
          <w:bCs/>
          <w:sz w:val="20"/>
          <w:lang w:val="x-none" w:eastAsia="x-none"/>
        </w:rPr>
        <w:t xml:space="preserve">. En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año</w:t>
      </w:r>
      <w:proofErr w:type="spellEnd"/>
      <w:r w:rsidRPr="004F0020">
        <w:rPr>
          <w:bCs/>
          <w:sz w:val="20"/>
          <w:lang w:val="x-none" w:eastAsia="x-none"/>
        </w:rPr>
        <w:t xml:space="preserve"> 202</w:t>
      </w:r>
      <w:r w:rsidRPr="00A56EAD">
        <w:rPr>
          <w:bCs/>
          <w:sz w:val="20"/>
          <w:lang w:eastAsia="x-none"/>
        </w:rPr>
        <w:t>2</w:t>
      </w:r>
      <w:r w:rsidRPr="004F0020">
        <w:rPr>
          <w:bCs/>
          <w:sz w:val="20"/>
          <w:lang w:val="x-none" w:eastAsia="x-none"/>
        </w:rPr>
        <w:t xml:space="preserve">, </w:t>
      </w:r>
      <w:proofErr w:type="spellStart"/>
      <w:r w:rsidRPr="004F0020">
        <w:rPr>
          <w:bCs/>
          <w:sz w:val="20"/>
          <w:lang w:val="x-none" w:eastAsia="x-none"/>
        </w:rPr>
        <w:t>el</w:t>
      </w:r>
      <w:proofErr w:type="spellEnd"/>
      <w:r w:rsidRPr="004F0020">
        <w:rPr>
          <w:bCs/>
          <w:sz w:val="20"/>
          <w:lang w:val="x-none" w:eastAsia="x-none"/>
        </w:rPr>
        <w:t xml:space="preserve"> </w:t>
      </w:r>
      <w:proofErr w:type="spellStart"/>
      <w:r w:rsidRPr="004F0020">
        <w:rPr>
          <w:bCs/>
          <w:sz w:val="20"/>
          <w:lang w:val="x-none" w:eastAsia="x-none"/>
        </w:rPr>
        <w:t>grupo</w:t>
      </w:r>
      <w:proofErr w:type="spellEnd"/>
      <w:r w:rsidRPr="004F0020">
        <w:rPr>
          <w:bCs/>
          <w:sz w:val="20"/>
          <w:lang w:val="x-none" w:eastAsia="x-none"/>
        </w:rPr>
        <w:t xml:space="preserve"> Würth Elektronik </w:t>
      </w:r>
      <w:proofErr w:type="spellStart"/>
      <w:r w:rsidRPr="004F0020">
        <w:rPr>
          <w:bCs/>
          <w:sz w:val="20"/>
          <w:lang w:val="x-none" w:eastAsia="x-none"/>
        </w:rPr>
        <w:t>generó</w:t>
      </w:r>
      <w:proofErr w:type="spellEnd"/>
      <w:r w:rsidRPr="004F0020">
        <w:rPr>
          <w:bCs/>
          <w:sz w:val="20"/>
          <w:lang w:val="x-none" w:eastAsia="x-none"/>
        </w:rPr>
        <w:t xml:space="preserve"> </w:t>
      </w:r>
      <w:proofErr w:type="spellStart"/>
      <w:r w:rsidRPr="004F0020">
        <w:rPr>
          <w:bCs/>
          <w:sz w:val="20"/>
          <w:lang w:val="x-none" w:eastAsia="x-none"/>
        </w:rPr>
        <w:t>una</w:t>
      </w:r>
      <w:proofErr w:type="spellEnd"/>
      <w:r w:rsidRPr="004F0020">
        <w:rPr>
          <w:bCs/>
          <w:sz w:val="20"/>
          <w:lang w:val="x-none" w:eastAsia="x-none"/>
        </w:rPr>
        <w:t xml:space="preserve"> </w:t>
      </w:r>
      <w:proofErr w:type="spellStart"/>
      <w:r w:rsidRPr="004F0020">
        <w:rPr>
          <w:bCs/>
          <w:sz w:val="20"/>
          <w:lang w:val="x-none" w:eastAsia="x-none"/>
        </w:rPr>
        <w:t>facturación</w:t>
      </w:r>
      <w:proofErr w:type="spellEnd"/>
      <w:r w:rsidRPr="004F0020">
        <w:rPr>
          <w:bCs/>
          <w:sz w:val="20"/>
          <w:lang w:val="x-none" w:eastAsia="x-none"/>
        </w:rPr>
        <w:t xml:space="preserve"> de </w:t>
      </w:r>
      <w:r w:rsidRPr="00E60A2E">
        <w:rPr>
          <w:bCs/>
          <w:sz w:val="20"/>
          <w:lang w:val="x-none" w:eastAsia="x-none"/>
        </w:rPr>
        <w:t>1</w:t>
      </w:r>
      <w:r w:rsidRPr="00A56EAD">
        <w:rPr>
          <w:bCs/>
          <w:sz w:val="20"/>
          <w:lang w:eastAsia="x-none"/>
        </w:rPr>
        <w:t>.</w:t>
      </w:r>
      <w:r w:rsidRPr="00E60A2E">
        <w:rPr>
          <w:bCs/>
          <w:sz w:val="20"/>
          <w:lang w:val="x-none" w:eastAsia="x-none"/>
        </w:rPr>
        <w:t xml:space="preserve">330 </w:t>
      </w:r>
      <w:proofErr w:type="spellStart"/>
      <w:r w:rsidRPr="004F0020">
        <w:rPr>
          <w:bCs/>
          <w:sz w:val="20"/>
          <w:lang w:val="x-none" w:eastAsia="x-none"/>
        </w:rPr>
        <w:t>millones</w:t>
      </w:r>
      <w:proofErr w:type="spellEnd"/>
      <w:r w:rsidRPr="004F0020">
        <w:rPr>
          <w:bCs/>
          <w:sz w:val="20"/>
          <w:lang w:val="x-none" w:eastAsia="x-none"/>
        </w:rPr>
        <w:t xml:space="preserve"> de </w:t>
      </w:r>
      <w:proofErr w:type="spellStart"/>
      <w:r w:rsidRPr="004F0020">
        <w:rPr>
          <w:bCs/>
          <w:sz w:val="20"/>
          <w:lang w:val="x-none" w:eastAsia="x-none"/>
        </w:rPr>
        <w:t>euros</w:t>
      </w:r>
      <w:proofErr w:type="spellEnd"/>
      <w:r w:rsidRPr="004F0020">
        <w:rPr>
          <w:bCs/>
          <w:sz w:val="20"/>
          <w:lang w:val="x-none" w:eastAsia="x-none"/>
        </w:rPr>
        <w:t>.</w:t>
      </w:r>
    </w:p>
    <w:p w14:paraId="1729F003" w14:textId="77777777" w:rsidR="00477772" w:rsidRPr="00477772" w:rsidRDefault="00477772" w:rsidP="00477772">
      <w:pPr>
        <w:pStyle w:val="Textkrper"/>
        <w:spacing w:before="120" w:after="120" w:line="276" w:lineRule="auto"/>
        <w:rPr>
          <w:rFonts w:ascii="Arial" w:hAnsi="Arial"/>
          <w:b w:val="0"/>
          <w:lang w:val="en-US"/>
        </w:rPr>
      </w:pPr>
      <w:r w:rsidRPr="00477772">
        <w:rPr>
          <w:rFonts w:ascii="Arial" w:hAnsi="Arial"/>
          <w:b w:val="0"/>
          <w:lang w:val="en-US"/>
        </w:rPr>
        <w:t xml:space="preserve">Würth </w:t>
      </w:r>
      <w:proofErr w:type="spellStart"/>
      <w:r w:rsidRPr="00477772">
        <w:rPr>
          <w:rFonts w:ascii="Arial" w:hAnsi="Arial"/>
          <w:b w:val="0"/>
          <w:lang w:val="en-US"/>
        </w:rPr>
        <w:t>Elektronik</w:t>
      </w:r>
      <w:proofErr w:type="spellEnd"/>
      <w:r w:rsidRPr="00477772">
        <w:rPr>
          <w:rFonts w:ascii="Arial" w:hAnsi="Arial"/>
          <w:b w:val="0"/>
          <w:lang w:val="en-US"/>
        </w:rPr>
        <w:t>: more than you expect!</w:t>
      </w:r>
    </w:p>
    <w:p w14:paraId="3EE95A3D" w14:textId="77777777" w:rsidR="00477772" w:rsidRPr="001E1BD8" w:rsidRDefault="00477772" w:rsidP="00477772">
      <w:pPr>
        <w:pStyle w:val="Textkrper"/>
        <w:spacing w:before="120" w:after="120" w:line="276" w:lineRule="auto"/>
        <w:rPr>
          <w:rFonts w:ascii="Arial" w:hAnsi="Arial"/>
        </w:rPr>
      </w:pPr>
      <w:r w:rsidRPr="001E1BD8">
        <w:rPr>
          <w:rFonts w:ascii="Arial" w:hAnsi="Arial"/>
        </w:rPr>
        <w:t>Más información en www.we-online.com</w:t>
      </w:r>
    </w:p>
    <w:p w14:paraId="1937A403" w14:textId="77777777" w:rsidR="00477772" w:rsidRPr="001E1BD8" w:rsidRDefault="00477772" w:rsidP="00477772">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477772" w:rsidRPr="001E1BD8" w14:paraId="2A4E82E8" w14:textId="77777777" w:rsidTr="00CD1F16">
        <w:tc>
          <w:tcPr>
            <w:tcW w:w="3902" w:type="dxa"/>
            <w:hideMark/>
          </w:tcPr>
          <w:p w14:paraId="069BD65E" w14:textId="77777777" w:rsidR="00477772" w:rsidRPr="001E1BD8" w:rsidRDefault="00477772" w:rsidP="00CD1F16">
            <w:pPr>
              <w:pStyle w:val="Textkrper"/>
              <w:autoSpaceDE/>
              <w:adjustRightInd/>
              <w:spacing w:before="120" w:after="120" w:line="276" w:lineRule="auto"/>
              <w:rPr>
                <w:rFonts w:ascii="Arial" w:hAnsi="Arial"/>
                <w:bCs w:val="0"/>
                <w:szCs w:val="24"/>
              </w:rPr>
            </w:pPr>
            <w:r w:rsidRPr="001E1BD8">
              <w:rPr>
                <w:b w:val="0"/>
                <w:bCs w:val="0"/>
              </w:rPr>
              <w:br w:type="page"/>
            </w:r>
            <w:r w:rsidRPr="001E1BD8">
              <w:rPr>
                <w:rFonts w:ascii="Arial" w:hAnsi="Arial"/>
              </w:rPr>
              <w:t>Más información:</w:t>
            </w:r>
          </w:p>
          <w:p w14:paraId="237B8E5F" w14:textId="77777777" w:rsidR="00477772" w:rsidRPr="001E1BD8" w:rsidRDefault="00477772" w:rsidP="00CD1F16">
            <w:pPr>
              <w:spacing w:before="120" w:after="120" w:line="276" w:lineRule="auto"/>
              <w:rPr>
                <w:rFonts w:ascii="Arial" w:hAnsi="Arial" w:cs="Arial"/>
                <w:sz w:val="20"/>
              </w:rPr>
            </w:pPr>
            <w:r w:rsidRPr="001E1BD8">
              <w:rPr>
                <w:rFonts w:ascii="Arial" w:hAnsi="Arial"/>
                <w:sz w:val="20"/>
              </w:rPr>
              <w:t>Würth Elektronik eiSos GmbH &amp; Co. KG</w:t>
            </w:r>
            <w:r w:rsidRPr="001E1BD8">
              <w:br/>
            </w:r>
            <w:r w:rsidRPr="001E1BD8">
              <w:rPr>
                <w:rFonts w:ascii="Arial" w:hAnsi="Arial"/>
                <w:sz w:val="20"/>
              </w:rPr>
              <w:t>Sarah Hurst</w:t>
            </w:r>
            <w:r w:rsidRPr="001E1BD8">
              <w:br/>
            </w:r>
            <w:r>
              <w:rPr>
                <w:rFonts w:ascii="Arial" w:hAnsi="Arial"/>
                <w:sz w:val="20"/>
              </w:rPr>
              <w:t>Clarita-Bernhard-S</w:t>
            </w:r>
            <w:r w:rsidRPr="001E1BD8">
              <w:rPr>
                <w:rFonts w:ascii="Arial" w:hAnsi="Arial"/>
                <w:sz w:val="20"/>
              </w:rPr>
              <w:t xml:space="preserve">trasse </w:t>
            </w:r>
            <w:r>
              <w:rPr>
                <w:rFonts w:ascii="Arial" w:hAnsi="Arial"/>
                <w:sz w:val="20"/>
              </w:rPr>
              <w:t>9</w:t>
            </w:r>
            <w:r w:rsidRPr="001E1BD8">
              <w:br/>
            </w:r>
            <w:r>
              <w:rPr>
                <w:rFonts w:ascii="Arial" w:hAnsi="Arial"/>
                <w:sz w:val="20"/>
              </w:rPr>
              <w:t>81249 München</w:t>
            </w:r>
            <w:r w:rsidRPr="001E1BD8">
              <w:rPr>
                <w:rFonts w:ascii="Arial" w:hAnsi="Arial"/>
                <w:sz w:val="20"/>
              </w:rPr>
              <w:br/>
              <w:t>Alemania</w:t>
            </w:r>
          </w:p>
          <w:p w14:paraId="56118B28" w14:textId="77777777" w:rsidR="00477772" w:rsidRPr="004F0020" w:rsidRDefault="00477772" w:rsidP="00CD1F16">
            <w:pPr>
              <w:spacing w:before="120" w:after="120" w:line="276" w:lineRule="auto"/>
              <w:rPr>
                <w:rFonts w:ascii="Arial" w:hAnsi="Arial" w:cs="Arial"/>
                <w:bCs/>
                <w:sz w:val="20"/>
              </w:rPr>
            </w:pPr>
            <w:r w:rsidRPr="004F0020">
              <w:rPr>
                <w:rFonts w:ascii="Arial" w:hAnsi="Arial"/>
                <w:sz w:val="20"/>
              </w:rPr>
              <w:t>Tel.: +49 7942 945-5186</w:t>
            </w:r>
            <w:r w:rsidRPr="004F0020">
              <w:br/>
            </w:r>
            <w:r w:rsidRPr="004F0020">
              <w:rPr>
                <w:rFonts w:ascii="Arial" w:hAnsi="Arial"/>
                <w:sz w:val="20"/>
              </w:rPr>
              <w:t xml:space="preserve">Correo electrónico: </w:t>
            </w:r>
            <w:r w:rsidRPr="004F0020">
              <w:rPr>
                <w:rFonts w:ascii="Arial" w:hAnsi="Arial"/>
                <w:sz w:val="20"/>
              </w:rPr>
              <w:br/>
              <w:t>sarah.hurst@we-online.de</w:t>
            </w:r>
          </w:p>
          <w:p w14:paraId="7A1463A8" w14:textId="77777777" w:rsidR="00477772" w:rsidRPr="001E1BD8" w:rsidRDefault="00477772" w:rsidP="00CD1F16">
            <w:pPr>
              <w:spacing w:before="120" w:after="120" w:line="276" w:lineRule="auto"/>
              <w:rPr>
                <w:rFonts w:ascii="Arial" w:hAnsi="Arial" w:cs="Arial"/>
                <w:bCs/>
                <w:sz w:val="20"/>
              </w:rPr>
            </w:pPr>
            <w:r w:rsidRPr="001E1BD8">
              <w:rPr>
                <w:rFonts w:ascii="Arial" w:hAnsi="Arial"/>
                <w:sz w:val="20"/>
              </w:rPr>
              <w:t>www.we-online.</w:t>
            </w:r>
            <w:r>
              <w:rPr>
                <w:rFonts w:ascii="Arial" w:hAnsi="Arial"/>
                <w:sz w:val="20"/>
              </w:rPr>
              <w:t>com</w:t>
            </w:r>
          </w:p>
        </w:tc>
        <w:tc>
          <w:tcPr>
            <w:tcW w:w="3193" w:type="dxa"/>
            <w:hideMark/>
          </w:tcPr>
          <w:p w14:paraId="7B4013F9" w14:textId="77777777" w:rsidR="00477772" w:rsidRPr="001E1BD8" w:rsidRDefault="00477772" w:rsidP="00CD1F16">
            <w:pPr>
              <w:pStyle w:val="Textkrper"/>
              <w:tabs>
                <w:tab w:val="left" w:pos="1065"/>
              </w:tabs>
              <w:autoSpaceDE/>
              <w:adjustRightInd/>
              <w:spacing w:before="120" w:after="120" w:line="276" w:lineRule="auto"/>
              <w:rPr>
                <w:rFonts w:ascii="Arial" w:hAnsi="Arial"/>
                <w:bCs w:val="0"/>
                <w:szCs w:val="24"/>
              </w:rPr>
            </w:pPr>
            <w:r w:rsidRPr="001E1BD8">
              <w:rPr>
                <w:rFonts w:ascii="Arial" w:hAnsi="Arial"/>
              </w:rPr>
              <w:t>Contacto para la prensa:</w:t>
            </w:r>
          </w:p>
          <w:p w14:paraId="644B1FAE" w14:textId="77777777" w:rsidR="00477772" w:rsidRPr="001E1BD8" w:rsidRDefault="00477772" w:rsidP="00CD1F16">
            <w:pPr>
              <w:tabs>
                <w:tab w:val="left" w:pos="1065"/>
              </w:tabs>
              <w:spacing w:before="120" w:after="120" w:line="276" w:lineRule="auto"/>
              <w:rPr>
                <w:rFonts w:ascii="Arial" w:hAnsi="Arial" w:cs="Arial"/>
                <w:bCs/>
                <w:sz w:val="20"/>
              </w:rPr>
            </w:pPr>
            <w:r w:rsidRPr="001E1BD8">
              <w:rPr>
                <w:rFonts w:ascii="Arial" w:hAnsi="Arial"/>
                <w:sz w:val="20"/>
              </w:rPr>
              <w:t>HighTech communications GmbH</w:t>
            </w:r>
            <w:r w:rsidRPr="001E1BD8">
              <w:br/>
            </w:r>
            <w:r w:rsidRPr="001E1BD8">
              <w:rPr>
                <w:rFonts w:ascii="Arial" w:hAnsi="Arial"/>
                <w:sz w:val="20"/>
              </w:rPr>
              <w:t>Brigitte Basilio</w:t>
            </w:r>
            <w:r w:rsidRPr="001E1BD8">
              <w:br/>
            </w:r>
            <w:r w:rsidRPr="001E1BD8">
              <w:rPr>
                <w:rFonts w:ascii="Arial" w:hAnsi="Arial"/>
                <w:sz w:val="20"/>
              </w:rPr>
              <w:t>Brunhamstrasse 21</w:t>
            </w:r>
            <w:r w:rsidRPr="001E1BD8">
              <w:br/>
            </w:r>
            <w:r>
              <w:rPr>
                <w:rFonts w:ascii="Arial" w:hAnsi="Arial"/>
                <w:sz w:val="20"/>
              </w:rPr>
              <w:t>81249</w:t>
            </w:r>
            <w:r w:rsidRPr="001E1BD8">
              <w:rPr>
                <w:rFonts w:ascii="Arial" w:hAnsi="Arial"/>
                <w:sz w:val="20"/>
              </w:rPr>
              <w:t xml:space="preserve"> München</w:t>
            </w:r>
            <w:r w:rsidRPr="001E1BD8">
              <w:rPr>
                <w:rFonts w:ascii="Arial" w:hAnsi="Arial"/>
                <w:sz w:val="20"/>
              </w:rPr>
              <w:br/>
              <w:t>Alemania</w:t>
            </w:r>
          </w:p>
          <w:p w14:paraId="310B4987" w14:textId="77777777" w:rsidR="00477772" w:rsidRPr="001E1BD8" w:rsidRDefault="00477772" w:rsidP="00CD1F16">
            <w:pPr>
              <w:tabs>
                <w:tab w:val="left" w:pos="1065"/>
              </w:tabs>
              <w:spacing w:before="120" w:after="120" w:line="276" w:lineRule="auto"/>
              <w:rPr>
                <w:rFonts w:ascii="Arial" w:hAnsi="Arial" w:cs="Arial"/>
                <w:bCs/>
                <w:sz w:val="20"/>
              </w:rPr>
            </w:pPr>
            <w:r w:rsidRPr="001E1BD8">
              <w:rPr>
                <w:rFonts w:ascii="Arial" w:hAnsi="Arial"/>
                <w:sz w:val="20"/>
              </w:rPr>
              <w:t xml:space="preserve">Tel.: +49 89 500778-20 </w:t>
            </w:r>
            <w:r w:rsidRPr="001E1BD8">
              <w:br/>
            </w:r>
            <w:r w:rsidRPr="001E1BD8">
              <w:rPr>
                <w:rFonts w:ascii="Arial" w:hAnsi="Arial"/>
                <w:sz w:val="20"/>
              </w:rPr>
              <w:t>Correo electrónico: b.basilio@htcm.de</w:t>
            </w:r>
          </w:p>
          <w:p w14:paraId="1910886D" w14:textId="77777777" w:rsidR="00477772" w:rsidRPr="001E1BD8" w:rsidRDefault="00477772" w:rsidP="00CD1F16">
            <w:pPr>
              <w:tabs>
                <w:tab w:val="left" w:pos="1065"/>
              </w:tabs>
              <w:spacing w:before="120" w:after="120" w:line="276" w:lineRule="auto"/>
              <w:rPr>
                <w:rFonts w:ascii="Arial" w:hAnsi="Arial" w:cs="Arial"/>
                <w:bCs/>
                <w:sz w:val="20"/>
              </w:rPr>
            </w:pPr>
            <w:r w:rsidRPr="001E1BD8">
              <w:rPr>
                <w:rFonts w:ascii="Arial" w:hAnsi="Arial"/>
                <w:sz w:val="20"/>
              </w:rPr>
              <w:t xml:space="preserve">www.htcm.de </w:t>
            </w:r>
          </w:p>
        </w:tc>
      </w:tr>
      <w:bookmarkEnd w:id="1"/>
    </w:tbl>
    <w:p w14:paraId="2100D8CC" w14:textId="77777777" w:rsidR="00477772" w:rsidRPr="001E1BD8" w:rsidRDefault="00477772" w:rsidP="00477772">
      <w:pPr>
        <w:pStyle w:val="Textkrper"/>
        <w:spacing w:before="120" w:after="120" w:line="276" w:lineRule="auto"/>
      </w:pPr>
    </w:p>
    <w:p w14:paraId="3889CDC5" w14:textId="77777777" w:rsidR="00477772" w:rsidRPr="001E1BD8" w:rsidRDefault="00477772" w:rsidP="00477772">
      <w:pPr>
        <w:pStyle w:val="Textkrper"/>
        <w:spacing w:before="120" w:after="120" w:line="276" w:lineRule="auto"/>
      </w:pPr>
    </w:p>
    <w:p w14:paraId="6EE780FD" w14:textId="77777777" w:rsidR="00477772" w:rsidRDefault="00477772">
      <w:pPr>
        <w:pStyle w:val="PITextkrper"/>
        <w:rPr>
          <w:b/>
          <w:bCs/>
          <w:sz w:val="18"/>
          <w:szCs w:val="18"/>
        </w:rPr>
      </w:pPr>
    </w:p>
    <w:sectPr w:rsidR="00477772">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0A58" w14:textId="77777777" w:rsidR="003D14F1" w:rsidRDefault="008E7F6C">
      <w:r>
        <w:separator/>
      </w:r>
    </w:p>
  </w:endnote>
  <w:endnote w:type="continuationSeparator" w:id="0">
    <w:p w14:paraId="0831ECC5" w14:textId="77777777" w:rsidR="003D14F1" w:rsidRDefault="008E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F568" w14:textId="77777777" w:rsidR="003D14F1" w:rsidRDefault="008E7F6C">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WTH1PI1296_es.docx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E7291" w14:textId="77777777" w:rsidR="003D14F1" w:rsidRDefault="008E7F6C">
      <w:r>
        <w:separator/>
      </w:r>
    </w:p>
  </w:footnote>
  <w:footnote w:type="continuationSeparator" w:id="0">
    <w:p w14:paraId="1238DAA5" w14:textId="77777777" w:rsidR="003D14F1" w:rsidRDefault="008E7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131C" w14:textId="77777777" w:rsidR="003D14F1" w:rsidRDefault="008E7F6C">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4F0C0454" wp14:editId="1B0EFAE9">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994024">
    <w:abstractNumId w:val="4"/>
  </w:num>
  <w:num w:numId="2" w16cid:durableId="118843592">
    <w:abstractNumId w:val="1"/>
  </w:num>
  <w:num w:numId="3" w16cid:durableId="1489904845">
    <w:abstractNumId w:val="2"/>
  </w:num>
  <w:num w:numId="4" w16cid:durableId="386413569">
    <w:abstractNumId w:val="3"/>
  </w:num>
  <w:num w:numId="5" w16cid:durableId="1549754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4F1"/>
    <w:rsid w:val="00102933"/>
    <w:rsid w:val="003D14F1"/>
    <w:rsid w:val="00477772"/>
    <w:rsid w:val="008E7F6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CC88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262226946">
      <w:bodyDiv w:val="1"/>
      <w:marLeft w:val="0"/>
      <w:marRight w:val="0"/>
      <w:marTop w:val="0"/>
      <w:marBottom w:val="0"/>
      <w:divBdr>
        <w:top w:val="none" w:sz="0" w:space="0" w:color="auto"/>
        <w:left w:val="none" w:sz="0" w:space="0" w:color="auto"/>
        <w:bottom w:val="none" w:sz="0" w:space="0" w:color="auto"/>
        <w:right w:val="none" w:sz="0" w:space="0" w:color="auto"/>
      </w:divBdr>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657654590">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87EE2-4577-40B5-9DC3-520EBC9D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4556</Characters>
  <DocSecurity>0</DocSecurity>
  <Lines>37</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5226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2023-08-03T10:30:00Z</dcterms:created>
  <dcterms:modified xsi:type="dcterms:W3CDTF">2023-12-05T10:13:00Z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