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2E25" w14:textId="77777777" w:rsidR="00966B0B" w:rsidRDefault="00095E05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6721211" w14:textId="77777777" w:rsidR="00966B0B" w:rsidRDefault="00095E05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l'Application Guide con soluzioni specifiche di settore</w:t>
      </w:r>
    </w:p>
    <w:p w14:paraId="512BDABC" w14:textId="77777777" w:rsidR="00966B0B" w:rsidRDefault="00095E05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Con la guida per applicazioni e soluzioni di settore con circuiti e componenti adeguati</w:t>
      </w:r>
    </w:p>
    <w:p w14:paraId="1A733FDB" w14:textId="230EA720" w:rsidR="00966B0B" w:rsidRDefault="00095E05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Waldenburg (Germania),</w:t>
      </w:r>
      <w:r w:rsidR="008A436D">
        <w:rPr>
          <w:rFonts w:ascii="Arial" w:hAnsi="Arial"/>
          <w:color w:val="000000"/>
        </w:rPr>
        <w:t xml:space="preserve"> </w:t>
      </w:r>
      <w:r w:rsidR="008A436D" w:rsidRPr="008A436D">
        <w:rPr>
          <w:rFonts w:ascii="Arial" w:hAnsi="Arial"/>
          <w:color w:val="000000"/>
        </w:rPr>
        <w:t>26 settembre 2023</w:t>
      </w:r>
      <w:r>
        <w:rPr>
          <w:rFonts w:ascii="Arial" w:hAnsi="Arial"/>
          <w:color w:val="000000"/>
        </w:rPr>
        <w:t xml:space="preserve"> – </w:t>
      </w:r>
      <w:r>
        <w:rPr>
          <w:rFonts w:ascii="Arial" w:hAnsi="Arial"/>
        </w:rPr>
        <w:t xml:space="preserve">L'Application Guide nel catalogo online di Würth Elektronik è stata ampliata con una </w:t>
      </w:r>
      <w:hyperlink r:id="rId8" w:history="1">
        <w:r>
          <w:rPr>
            <w:rStyle w:val="Hyperlink"/>
            <w:rFonts w:ascii="Arial" w:hAnsi="Arial"/>
          </w:rPr>
          <w:t>Guida per applicazioni e</w:t>
        </w:r>
      </w:hyperlink>
      <w:r>
        <w:rPr>
          <w:rStyle w:val="Hyperlink"/>
          <w:rFonts w:ascii="Arial" w:hAnsi="Arial"/>
        </w:rPr>
        <w:t xml:space="preserve"> soluzioni industriali</w:t>
      </w:r>
      <w:r>
        <w:rPr>
          <w:rFonts w:ascii="Arial" w:hAnsi="Arial"/>
        </w:rPr>
        <w:t>: attualmente sono disponibili i settori elettrodomestici, utensili elettrici e mobilità elettrica. Ne seguiranno altri. In questo modo il produttore di componenti elettronici ed elettromeccanici porta avanti il proprio obiettivo di facilitare agli sviluppatori la realizzazione delle loro configurazioni e la scelta di componenti adatti attraverso applicazioni tipiche. L'applicazione Web presenta per ciascun dispositivo un diagramma a blocchi appositamente sviluppato, in cui accanto allo schema sono rappresentati anche i prodotti più adatti offerti da Würth Elektronik</w:t>
      </w:r>
      <w:r w:rsidR="003229B7">
        <w:rPr>
          <w:rFonts w:ascii="Arial" w:hAnsi="Arial"/>
        </w:rPr>
        <w:t>.</w:t>
      </w:r>
    </w:p>
    <w:p w14:paraId="52657B11" w14:textId="77777777" w:rsidR="00966B0B" w:rsidRDefault="00095E0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 nuova offerta parte con il settore "elettrodomestici" analizzando quattro dispositivi: lavatrici, macchine per il caffè, frigoriferi e piani cottura. Per il segmento "mobilità elettrica" sono presenti: veicoli elettrici leggeri, stazioni di carica e caricatori integrati. Il settore "utensili elettrici" è suddiviso nei capitoli: "Battery Charger", "Battery Pack", "DC Power Tool", "AC Power Tool &lt; 1 kW" e "AC Power Tool &gt; 1 kW".</w:t>
      </w:r>
    </w:p>
    <w:p w14:paraId="1A2F1218" w14:textId="77777777" w:rsidR="00966B0B" w:rsidRDefault="00095E0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Con la guida per soluzioni di settore si intende facilitare la scelta di componenti adatti da parte degli sviluppatori. L'idea alla base è che nessuno deve reinventare convertitori di tensione, filtri di ingresso DC o stazioni di carica. Accanto a strumenti di progettazione come REDEXPERT, reference design di circuiti integrati e numerose Application Note, la guida per applicazioni e soluzioni di settore completa la gamma di servizi di Würth Elektronik. L'offerta è iniziata con l'Application Guide, che mette a disposizione informazioni sulle possibilità offerte per le varie applicazioni con descrizioni dettagliate, schemi elettrici e consigli di prodotto per le più importanti interfacce e regolatori switching.</w:t>
      </w:r>
    </w:p>
    <w:p w14:paraId="1AD5F12C" w14:textId="77777777" w:rsidR="00966B0B" w:rsidRDefault="00095E0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guida per applicazioni e soluzioni di settore è disponibile al link </w:t>
      </w:r>
      <w:hyperlink r:id="rId9" w:history="1">
        <w:r>
          <w:rPr>
            <w:rStyle w:val="Hyperlink"/>
            <w:rFonts w:ascii="Arial" w:hAnsi="Arial"/>
            <w:b w:val="0"/>
          </w:rPr>
          <w:t>https://www.we-online.com/en/components/applicationguide</w:t>
        </w:r>
      </w:hyperlink>
      <w:r>
        <w:rPr>
          <w:rFonts w:ascii="Arial" w:hAnsi="Arial"/>
          <w:b w:val="0"/>
        </w:rPr>
        <w:t>.</w:t>
      </w:r>
    </w:p>
    <w:p w14:paraId="1C91DF48" w14:textId="77777777" w:rsidR="00966B0B" w:rsidRDefault="00966B0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232F8CC6" w14:textId="77777777" w:rsidR="00966B0B" w:rsidRDefault="00095E05">
      <w:pPr>
        <w:pStyle w:val="Textkrper"/>
        <w:spacing w:before="120" w:after="120" w:line="260" w:lineRule="exact"/>
        <w:jc w:val="both"/>
      </w:pPr>
      <w:r>
        <w:br w:type="page"/>
      </w:r>
    </w:p>
    <w:p w14:paraId="793B7D2C" w14:textId="77777777" w:rsidR="00095E05" w:rsidRDefault="00095E0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2384392" w14:textId="77777777" w:rsidR="00966B0B" w:rsidRDefault="00966B0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60F405C" w14:textId="77777777" w:rsidR="00095E05" w:rsidRPr="00970FD9" w:rsidRDefault="00095E05" w:rsidP="00095E0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224D182" w14:textId="77777777" w:rsidR="00095E05" w:rsidRPr="00970FD9" w:rsidRDefault="00095E05" w:rsidP="00095E05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66B0B" w14:paraId="74D88B2E" w14:textId="77777777">
        <w:trPr>
          <w:trHeight w:val="1701"/>
        </w:trPr>
        <w:tc>
          <w:tcPr>
            <w:tcW w:w="3510" w:type="dxa"/>
          </w:tcPr>
          <w:p w14:paraId="566A0FB0" w14:textId="77777777" w:rsidR="00966B0B" w:rsidRDefault="00095E05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95DFD5" wp14:editId="17B8BBDC">
                  <wp:extent cx="2139950" cy="1196340"/>
                  <wp:effectExtent l="0" t="0" r="0" b="3810"/>
                  <wp:docPr id="21055970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8AAAE" w14:textId="77777777" w:rsidR="00966B0B" w:rsidRDefault="00095E05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21E8A397" w14:textId="77777777" w:rsidR="00966B0B" w:rsidRDefault="00095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La guida per applicazioni e soluzioni di settore di Würth Elektronik semplifica la scelta di configurazioni e componenti.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2604DD0" w14:textId="77777777" w:rsidR="00966B0B" w:rsidRDefault="00966B0B">
      <w:pPr>
        <w:pStyle w:val="PITextkrper"/>
        <w:rPr>
          <w:b/>
          <w:bCs/>
          <w:sz w:val="18"/>
          <w:szCs w:val="18"/>
          <w:lang w:val="de-DE"/>
        </w:rPr>
      </w:pPr>
    </w:p>
    <w:p w14:paraId="0CA58BB4" w14:textId="77777777" w:rsidR="00095E05" w:rsidRDefault="00095E05" w:rsidP="00095E0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5ED3B14" w14:textId="77777777" w:rsidR="00095E05" w:rsidRPr="004C0F82" w:rsidRDefault="00095E05" w:rsidP="00095E0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9003B11" w14:textId="77777777" w:rsidR="00095E05" w:rsidRPr="00970FD9" w:rsidRDefault="00095E05" w:rsidP="00095E0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58E6DBFB" w14:textId="77777777" w:rsidR="00095E05" w:rsidRPr="00970FD9" w:rsidRDefault="00095E05" w:rsidP="00095E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2B922019" w14:textId="77777777" w:rsidR="00095E05" w:rsidRPr="00970FD9" w:rsidRDefault="00095E05" w:rsidP="00095E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389236AB" w14:textId="4B63F028" w:rsidR="00095E05" w:rsidRDefault="00095E05" w:rsidP="00095E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  <w:bookmarkStart w:id="1" w:name="_Hlk39740582"/>
    </w:p>
    <w:p w14:paraId="6D37E1E6" w14:textId="77777777" w:rsidR="00095E05" w:rsidRDefault="00095E0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67F20984" w14:textId="77777777" w:rsidR="00095E05" w:rsidRDefault="00095E05" w:rsidP="00095E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E1FA789" w14:textId="13E23403" w:rsidR="00095E05" w:rsidRPr="00970FD9" w:rsidRDefault="00095E05" w:rsidP="00095E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7F6B1047" w14:textId="77777777" w:rsidR="00095E05" w:rsidRPr="00970FD9" w:rsidRDefault="00095E05" w:rsidP="00095E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495C6802" w14:textId="77777777" w:rsidR="00095E05" w:rsidRPr="00970FD9" w:rsidRDefault="00095E05" w:rsidP="00095E0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90EE413" w14:textId="77777777" w:rsidR="00095E05" w:rsidRPr="00970FD9" w:rsidRDefault="00095E05" w:rsidP="00095E0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95E05" w:rsidRPr="00625C04" w14:paraId="7C83A942" w14:textId="77777777" w:rsidTr="005C68F1">
        <w:tc>
          <w:tcPr>
            <w:tcW w:w="3902" w:type="dxa"/>
            <w:shd w:val="clear" w:color="auto" w:fill="auto"/>
            <w:hideMark/>
          </w:tcPr>
          <w:p w14:paraId="4B509474" w14:textId="77777777" w:rsidR="00095E05" w:rsidRPr="00970FD9" w:rsidRDefault="00095E05" w:rsidP="005C68F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6D5C012D" w14:textId="77777777" w:rsidR="00095E05" w:rsidRPr="00970FD9" w:rsidRDefault="00095E05" w:rsidP="005C68F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DA60FC8" w14:textId="77777777" w:rsidR="00095E05" w:rsidRPr="00FF0DE9" w:rsidRDefault="00095E05" w:rsidP="005C68F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66B87659" w14:textId="77777777" w:rsidR="00095E05" w:rsidRPr="00625C04" w:rsidRDefault="00095E05" w:rsidP="005C68F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DA11690" w14:textId="77777777" w:rsidR="00095E05" w:rsidRPr="00625C04" w:rsidRDefault="00095E05" w:rsidP="005C68F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7EB712C" w14:textId="77777777" w:rsidR="00095E05" w:rsidRPr="00970FD9" w:rsidRDefault="00095E05" w:rsidP="005C68F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E617D2C" w14:textId="77777777" w:rsidR="00095E05" w:rsidRPr="00970FD9" w:rsidRDefault="00095E05" w:rsidP="005C68F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D0BF92B" w14:textId="77777777" w:rsidR="00095E05" w:rsidRPr="00970FD9" w:rsidRDefault="00095E05" w:rsidP="005C68F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F62CDF3" w14:textId="77777777" w:rsidR="00095E05" w:rsidRPr="00625C04" w:rsidRDefault="00095E05" w:rsidP="005C68F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2013BD7" w14:textId="77777777" w:rsidR="00095E05" w:rsidRPr="002C689E" w:rsidRDefault="00095E05" w:rsidP="00095E05">
      <w:pPr>
        <w:pStyle w:val="Textkrper"/>
        <w:spacing w:before="120" w:after="120" w:line="276" w:lineRule="auto"/>
      </w:pPr>
    </w:p>
    <w:p w14:paraId="07CFCBC9" w14:textId="77777777" w:rsidR="00095E05" w:rsidRDefault="00095E05">
      <w:pPr>
        <w:pStyle w:val="PITextkrper"/>
        <w:rPr>
          <w:b/>
          <w:bCs/>
          <w:sz w:val="18"/>
          <w:szCs w:val="18"/>
          <w:lang w:val="de-DE"/>
        </w:rPr>
      </w:pPr>
    </w:p>
    <w:sectPr w:rsidR="00095E05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514A" w14:textId="77777777" w:rsidR="00966B0B" w:rsidRDefault="00095E05">
      <w:r>
        <w:separator/>
      </w:r>
    </w:p>
  </w:endnote>
  <w:endnote w:type="continuationSeparator" w:id="0">
    <w:p w14:paraId="04CA4D90" w14:textId="77777777" w:rsidR="00966B0B" w:rsidRDefault="0009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0501" w14:textId="77777777" w:rsidR="00966B0B" w:rsidRDefault="00095E05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WTH1PI1088_it.docx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935B" w14:textId="77777777" w:rsidR="00966B0B" w:rsidRDefault="00095E05">
      <w:r>
        <w:separator/>
      </w:r>
    </w:p>
  </w:footnote>
  <w:footnote w:type="continuationSeparator" w:id="0">
    <w:p w14:paraId="2F2D333D" w14:textId="77777777" w:rsidR="00966B0B" w:rsidRDefault="0009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DDC8" w14:textId="77777777" w:rsidR="00966B0B" w:rsidRDefault="00095E05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429673F1" wp14:editId="20EAB3F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700359">
    <w:abstractNumId w:val="4"/>
  </w:num>
  <w:num w:numId="2" w16cid:durableId="17826625">
    <w:abstractNumId w:val="1"/>
  </w:num>
  <w:num w:numId="3" w16cid:durableId="109058705">
    <w:abstractNumId w:val="2"/>
  </w:num>
  <w:num w:numId="4" w16cid:durableId="981351806">
    <w:abstractNumId w:val="3"/>
  </w:num>
  <w:num w:numId="5" w16cid:durableId="142333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0B"/>
    <w:rsid w:val="00095E05"/>
    <w:rsid w:val="003229B7"/>
    <w:rsid w:val="008A436D"/>
    <w:rsid w:val="009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145E9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applicationgui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applicationgui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2D2B-4CF5-430D-A73D-97C32FCB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4789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5</cp:revision>
  <cp:lastPrinted>2017-06-23T08:32:00Z</cp:lastPrinted>
  <dcterms:created xsi:type="dcterms:W3CDTF">2023-09-04T09:00:00Z</dcterms:created>
  <dcterms:modified xsi:type="dcterms:W3CDTF">2023-09-26T07:24:00Z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