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63B6E" w14:textId="77777777" w:rsidR="002733F2" w:rsidRDefault="009F072D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COMUNICADO DE PRENSA</w:t>
      </w:r>
    </w:p>
    <w:p w14:paraId="3C32BB96" w14:textId="77777777" w:rsidR="002733F2" w:rsidRDefault="009F072D">
      <w:pPr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 xml:space="preserve">IQD presenta el IQCM-200 </w:t>
      </w:r>
    </w:p>
    <w:p w14:paraId="01532E0E" w14:textId="77777777" w:rsidR="002733F2" w:rsidRDefault="009F072D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>
        <w:rPr>
          <w:rFonts w:ascii="Arial" w:hAnsi="Arial"/>
          <w:b/>
          <w:color w:val="000000"/>
          <w:sz w:val="36"/>
        </w:rPr>
        <w:t xml:space="preserve">El </w:t>
      </w:r>
      <w:r>
        <w:rPr>
          <w:rFonts w:ascii="Arial" w:hAnsi="Arial"/>
          <w:b/>
          <w:color w:val="000000"/>
          <w:sz w:val="36"/>
        </w:rPr>
        <w:t xml:space="preserve">OCXO sincronizado con mayor </w:t>
      </w:r>
      <w:r>
        <w:rPr>
          <w:rFonts w:ascii="Arial" w:hAnsi="Arial"/>
          <w:b/>
          <w:i/>
          <w:iCs/>
          <w:color w:val="000000"/>
          <w:sz w:val="36"/>
        </w:rPr>
        <w:t>holdover</w:t>
      </w:r>
    </w:p>
    <w:p w14:paraId="6F1A8A47" w14:textId="4501A2B0" w:rsidR="002733F2" w:rsidRDefault="009F072D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Waldenburg (</w:t>
      </w:r>
      <w:r>
        <w:rPr>
          <w:rFonts w:ascii="Arial" w:hAnsi="Arial"/>
          <w:color w:val="000000"/>
          <w:lang w:bidi="es-ES"/>
        </w:rPr>
        <w:t>Alemania</w:t>
      </w:r>
      <w:r>
        <w:rPr>
          <w:rFonts w:ascii="Arial" w:hAnsi="Arial"/>
          <w:color w:val="000000"/>
        </w:rPr>
        <w:t xml:space="preserve">), </w:t>
      </w:r>
      <w:r w:rsidR="00591E62">
        <w:rPr>
          <w:rFonts w:ascii="Arial" w:hAnsi="Arial"/>
          <w:color w:val="000000"/>
        </w:rPr>
        <w:t xml:space="preserve">16 </w:t>
      </w:r>
      <w:r>
        <w:rPr>
          <w:rFonts w:ascii="Arial" w:hAnsi="Arial"/>
          <w:color w:val="000000"/>
        </w:rPr>
        <w:t>de mayo de 202</w:t>
      </w:r>
      <w:r w:rsidR="00591E62">
        <w:rPr>
          <w:rFonts w:ascii="Arial" w:hAnsi="Arial"/>
          <w:color w:val="000000"/>
        </w:rPr>
        <w:t>2</w:t>
      </w:r>
      <w:r>
        <w:rPr>
          <w:rFonts w:ascii="Arial" w:hAnsi="Arial"/>
          <w:color w:val="000000"/>
        </w:rPr>
        <w:t xml:space="preserve"> – IQD, una empresa del grupo Würth Elektronik eiSos, presenta un nuevo OCXO sincronizado: el modelo IQCM-200. Está sincronizado con una entrada de 1 PPS (pulsos por segundo) y una salida de 1 PPS. Gracias a su excepcional precisión y estabi</w:t>
      </w:r>
      <w:r>
        <w:rPr>
          <w:rFonts w:ascii="Arial" w:hAnsi="Arial"/>
          <w:color w:val="000000"/>
        </w:rPr>
        <w:t xml:space="preserve">lidad de </w:t>
      </w:r>
      <w:r>
        <w:rPr>
          <w:rFonts w:ascii="Arial" w:hAnsi="Arial"/>
          <w:i/>
          <w:iCs/>
          <w:color w:val="000000"/>
        </w:rPr>
        <w:t>holdover</w:t>
      </w:r>
      <w:r>
        <w:rPr>
          <w:rFonts w:ascii="Arial" w:hAnsi="Arial"/>
          <w:color w:val="000000"/>
        </w:rPr>
        <w:t>, este producto figura entre los mejores OCXO sincronizados.</w:t>
      </w:r>
    </w:p>
    <w:p w14:paraId="6837B2AA" w14:textId="3211F2FF" w:rsidR="002733F2" w:rsidRDefault="009F072D">
      <w:pPr>
        <w:pStyle w:val="Textkrper"/>
        <w:spacing w:before="120" w:after="120" w:line="260" w:lineRule="exact"/>
        <w:jc w:val="both"/>
        <w:rPr>
          <w:rFonts w:ascii="Arial" w:hAnsi="Arial"/>
          <w:b w:val="0"/>
          <w:color w:val="000000"/>
        </w:rPr>
      </w:pPr>
      <w:r>
        <w:rPr>
          <w:rFonts w:ascii="Arial" w:hAnsi="Arial"/>
          <w:b w:val="0"/>
          <w:color w:val="000000"/>
        </w:rPr>
        <w:t xml:space="preserve">El IQCM-200 forma parte de una gama de OCXO sincronizados disponibles en IQD. Este modelo en particular ofrece la mejor estabilidad de </w:t>
      </w:r>
      <w:r>
        <w:rPr>
          <w:rFonts w:ascii="Arial" w:hAnsi="Arial"/>
          <w:b w:val="0"/>
          <w:i/>
          <w:iCs/>
          <w:color w:val="000000"/>
        </w:rPr>
        <w:t>holdover</w:t>
      </w:r>
      <w:r>
        <w:rPr>
          <w:rFonts w:ascii="Arial" w:hAnsi="Arial"/>
          <w:b w:val="0"/>
          <w:color w:val="000000"/>
        </w:rPr>
        <w:t xml:space="preserve"> para el tamaño más pequeño disponi</w:t>
      </w:r>
      <w:r>
        <w:rPr>
          <w:rFonts w:ascii="Arial" w:hAnsi="Arial"/>
          <w:b w:val="0"/>
          <w:color w:val="000000"/>
        </w:rPr>
        <w:t xml:space="preserve">ble: para asegurarse de que las unidades seguirán funcionando con la máxima precisión durante </w:t>
      </w:r>
      <w:r>
        <w:rPr>
          <w:rFonts w:ascii="Arial" w:hAnsi="Arial"/>
          <w:b w:val="0"/>
          <w:color w:val="000000"/>
        </w:rPr>
        <w:t>el</w:t>
      </w:r>
      <w:r>
        <w:rPr>
          <w:rFonts w:ascii="Arial" w:hAnsi="Arial"/>
          <w:b w:val="0"/>
          <w:color w:val="000000"/>
        </w:rPr>
        <w:t xml:space="preserve"> periodo de </w:t>
      </w:r>
      <w:r>
        <w:rPr>
          <w:rFonts w:ascii="Arial" w:hAnsi="Arial"/>
          <w:b w:val="0"/>
          <w:i/>
          <w:iCs/>
          <w:color w:val="000000"/>
        </w:rPr>
        <w:t>holdover</w:t>
      </w:r>
      <w:r>
        <w:rPr>
          <w:rFonts w:ascii="Arial" w:hAnsi="Arial"/>
          <w:b w:val="0"/>
          <w:color w:val="000000"/>
        </w:rPr>
        <w:t>.</w:t>
      </w:r>
    </w:p>
    <w:p w14:paraId="3BCE064A" w14:textId="302A95DB" w:rsidR="002733F2" w:rsidRDefault="009F072D">
      <w:pPr>
        <w:pStyle w:val="Textkrper"/>
        <w:spacing w:before="120" w:after="120" w:line="260" w:lineRule="exact"/>
        <w:jc w:val="both"/>
        <w:rPr>
          <w:rFonts w:ascii="Arial" w:hAnsi="Arial"/>
          <w:b w:val="0"/>
          <w:color w:val="000000"/>
        </w:rPr>
      </w:pPr>
      <w:r>
        <w:rPr>
          <w:rFonts w:ascii="Arial" w:hAnsi="Arial"/>
          <w:b w:val="0"/>
          <w:color w:val="000000"/>
        </w:rPr>
        <w:t xml:space="preserve">La estabilidad de </w:t>
      </w:r>
      <w:r>
        <w:rPr>
          <w:rFonts w:ascii="Arial" w:hAnsi="Arial"/>
          <w:b w:val="0"/>
          <w:i/>
          <w:iCs/>
          <w:color w:val="000000"/>
        </w:rPr>
        <w:t>holdover</w:t>
      </w:r>
      <w:r>
        <w:rPr>
          <w:rFonts w:ascii="Arial" w:hAnsi="Arial"/>
          <w:b w:val="0"/>
          <w:color w:val="000000"/>
        </w:rPr>
        <w:t xml:space="preserve"> de primera clase de hasta 1,5 μs en 24 horas a 0 - 60 °C y normalmente 25</w:t>
      </w:r>
      <w:r>
        <w:rPr>
          <w:rFonts w:ascii="Arial" w:hAnsi="Arial"/>
          <w:b w:val="0"/>
          <w:color w:val="000000"/>
        </w:rPr>
        <w:t>µs en 10 días a 25 ±</w:t>
      </w:r>
      <w:r>
        <w:rPr>
          <w:rFonts w:ascii="Arial" w:hAnsi="Arial"/>
          <w:b w:val="0"/>
          <w:color w:val="000000"/>
        </w:rPr>
        <w:t>2</w:t>
      </w:r>
      <w:r>
        <w:rPr>
          <w:rFonts w:ascii="Arial" w:hAnsi="Arial"/>
          <w:b w:val="0"/>
          <w:color w:val="000000"/>
        </w:rPr>
        <w:t>°C se consigue mediante un algoritmo adaptativo. Los parámetros internos del algoritmo, incluidas las alarmas de mantenimiento y la</w:t>
      </w:r>
      <w:r>
        <w:rPr>
          <w:rFonts w:ascii="Arial" w:hAnsi="Arial"/>
          <w:b w:val="0"/>
          <w:color w:val="000000"/>
        </w:rPr>
        <w:t xml:space="preserve"> programación</w:t>
      </w:r>
      <w:r>
        <w:rPr>
          <w:rFonts w:ascii="Arial" w:hAnsi="Arial"/>
          <w:b w:val="0"/>
          <w:color w:val="000000"/>
        </w:rPr>
        <w:t xml:space="preserve"> de</w:t>
      </w:r>
      <w:r>
        <w:rPr>
          <w:rFonts w:ascii="Arial" w:hAnsi="Arial"/>
          <w:b w:val="0"/>
          <w:color w:val="000000"/>
        </w:rPr>
        <w:t xml:space="preserve"> mensaje</w:t>
      </w:r>
      <w:r>
        <w:rPr>
          <w:rFonts w:ascii="Arial" w:hAnsi="Arial"/>
          <w:b w:val="0"/>
          <w:color w:val="000000"/>
        </w:rPr>
        <w:t>s</w:t>
      </w:r>
      <w:r>
        <w:rPr>
          <w:rFonts w:ascii="Arial" w:hAnsi="Arial"/>
          <w:b w:val="0"/>
          <w:color w:val="000000"/>
        </w:rPr>
        <w:t xml:space="preserve">, están a disposición del usuario por medio de una interfaz </w:t>
      </w:r>
      <w:r>
        <w:rPr>
          <w:rFonts w:ascii="Arial" w:hAnsi="Arial"/>
          <w:b w:val="0"/>
          <w:color w:val="000000"/>
        </w:rPr>
        <w:t xml:space="preserve">serie. Se consigue una estabilidad de frecuencia mejor que ±0,02 ppb. </w:t>
      </w:r>
    </w:p>
    <w:p w14:paraId="69D41940" w14:textId="6CC3B6D1" w:rsidR="002733F2" w:rsidRDefault="009F072D">
      <w:pPr>
        <w:pStyle w:val="Textkrper"/>
        <w:spacing w:before="120" w:after="120" w:line="260" w:lineRule="exact"/>
        <w:jc w:val="both"/>
        <w:rPr>
          <w:rFonts w:ascii="Arial" w:hAnsi="Arial"/>
          <w:b w:val="0"/>
          <w:color w:val="000000"/>
        </w:rPr>
      </w:pPr>
      <w:r>
        <w:rPr>
          <w:rFonts w:ascii="Arial" w:hAnsi="Arial"/>
          <w:b w:val="0"/>
          <w:color w:val="000000"/>
        </w:rPr>
        <w:t>El ICQM-200 ha sido probado exhaustivamente por los ingenieros del laboratorio IQD en Gran Bretaña. En estas p</w:t>
      </w:r>
      <w:r>
        <w:rPr>
          <w:rFonts w:ascii="Arial" w:hAnsi="Arial"/>
          <w:b w:val="0"/>
          <w:color w:val="000000"/>
        </w:rPr>
        <w:t xml:space="preserve">ruebas controladas, el IQCM-200 logró un impresionante tiempo de </w:t>
      </w:r>
      <w:r>
        <w:rPr>
          <w:rFonts w:ascii="Arial" w:hAnsi="Arial"/>
          <w:b w:val="0"/>
          <w:i/>
          <w:iCs/>
          <w:color w:val="000000"/>
        </w:rPr>
        <w:t>holdover</w:t>
      </w:r>
      <w:r>
        <w:rPr>
          <w:rFonts w:ascii="Arial" w:hAnsi="Arial"/>
          <w:b w:val="0"/>
          <w:color w:val="000000"/>
        </w:rPr>
        <w:t xml:space="preserve"> de 25,5 μs después de 10 días, que resulta ideal cuando una aplicación requiere un tiempo de </w:t>
      </w:r>
      <w:r>
        <w:rPr>
          <w:rFonts w:ascii="Arial" w:hAnsi="Arial"/>
          <w:b w:val="0"/>
          <w:i/>
          <w:iCs/>
          <w:color w:val="000000"/>
        </w:rPr>
        <w:t>holdover</w:t>
      </w:r>
      <w:r>
        <w:rPr>
          <w:rFonts w:ascii="Arial" w:hAnsi="Arial"/>
          <w:b w:val="0"/>
          <w:color w:val="000000"/>
        </w:rPr>
        <w:t xml:space="preserve"> superior a 24 horas. Las pruebas también arrojaron valores de ADEV de 2,2</w:t>
      </w:r>
      <w:r>
        <w:rPr>
          <w:rFonts w:ascii="Arial" w:hAnsi="Arial"/>
          <w:b w:val="0"/>
          <w:color w:val="000000"/>
        </w:rPr>
        <w:t>E</w:t>
      </w:r>
      <w:r>
        <w:rPr>
          <w:rFonts w:ascii="Arial" w:hAnsi="Arial"/>
          <w:b w:val="0"/>
          <w:color w:val="000000"/>
        </w:rPr>
        <w:t xml:space="preserve">-12 @ </w:t>
      </w:r>
      <w:r>
        <w:rPr>
          <w:rFonts w:ascii="Arial" w:hAnsi="Arial"/>
          <w:b w:val="0"/>
          <w:color w:val="000000"/>
        </w:rPr>
        <w:t>τ = 1</w:t>
      </w:r>
      <w:r>
        <w:rPr>
          <w:rFonts w:ascii="Arial" w:hAnsi="Arial"/>
          <w:b w:val="0"/>
          <w:color w:val="000000"/>
        </w:rPr>
        <w:t>s.</w:t>
      </w:r>
    </w:p>
    <w:p w14:paraId="08D99A53" w14:textId="58289F73" w:rsidR="002733F2" w:rsidRDefault="009F072D">
      <w:pPr>
        <w:pStyle w:val="Textkrper"/>
        <w:spacing w:before="120" w:after="120" w:line="260" w:lineRule="exact"/>
        <w:jc w:val="both"/>
        <w:rPr>
          <w:rFonts w:ascii="Arial" w:hAnsi="Arial"/>
          <w:b w:val="0"/>
          <w:color w:val="000000"/>
        </w:rPr>
      </w:pPr>
      <w:r>
        <w:rPr>
          <w:rFonts w:ascii="Arial" w:hAnsi="Arial"/>
          <w:b w:val="0"/>
          <w:color w:val="000000"/>
        </w:rPr>
        <w:t xml:space="preserve">Gracias a sus excepcionales tiempos de </w:t>
      </w:r>
      <w:r>
        <w:rPr>
          <w:rFonts w:ascii="Arial" w:hAnsi="Arial"/>
          <w:b w:val="0"/>
          <w:i/>
          <w:iCs/>
          <w:color w:val="000000"/>
        </w:rPr>
        <w:t>holdover</w:t>
      </w:r>
      <w:r>
        <w:rPr>
          <w:rFonts w:ascii="Arial" w:hAnsi="Arial"/>
          <w:b w:val="0"/>
          <w:color w:val="000000"/>
        </w:rPr>
        <w:t xml:space="preserve">, este producto es ideal para aplicaciones que requieren una referencia de tiempo precisa, sincronización LTE y 5G para telecomunicaciones y relojes PTP GM con función de </w:t>
      </w:r>
      <w:r>
        <w:rPr>
          <w:rFonts w:ascii="Arial" w:hAnsi="Arial"/>
          <w:b w:val="0"/>
          <w:i/>
          <w:iCs/>
          <w:color w:val="000000"/>
        </w:rPr>
        <w:t>holdover</w:t>
      </w:r>
      <w:r>
        <w:rPr>
          <w:rFonts w:ascii="Arial" w:hAnsi="Arial"/>
          <w:b w:val="0"/>
          <w:color w:val="000000"/>
        </w:rPr>
        <w:t xml:space="preserve"> </w:t>
      </w:r>
      <w:r>
        <w:rPr>
          <w:rFonts w:ascii="Arial" w:hAnsi="Arial"/>
          <w:b w:val="0"/>
          <w:color w:val="000000"/>
        </w:rPr>
        <w:t xml:space="preserve">según </w:t>
      </w:r>
      <w:r>
        <w:rPr>
          <w:rFonts w:ascii="Arial" w:hAnsi="Arial"/>
          <w:b w:val="0"/>
          <w:color w:val="000000"/>
        </w:rPr>
        <w:t>IEEE 1588</w:t>
      </w:r>
      <w:r>
        <w:rPr>
          <w:rFonts w:ascii="Arial" w:hAnsi="Arial"/>
          <w:b w:val="0"/>
          <w:color w:val="000000"/>
        </w:rPr>
        <w:t xml:space="preserve">, así como para aplicaciones </w:t>
      </w:r>
      <w:r>
        <w:rPr>
          <w:rFonts w:ascii="Arial" w:hAnsi="Arial"/>
          <w:b w:val="0"/>
          <w:i/>
          <w:iCs/>
          <w:color w:val="000000"/>
        </w:rPr>
        <w:t>White Rabbit</w:t>
      </w:r>
      <w:r>
        <w:rPr>
          <w:rFonts w:ascii="Arial" w:hAnsi="Arial"/>
          <w:b w:val="0"/>
          <w:color w:val="000000"/>
        </w:rPr>
        <w:t>. El model</w:t>
      </w:r>
      <w:r>
        <w:rPr>
          <w:rFonts w:ascii="Arial" w:hAnsi="Arial"/>
          <w:b w:val="0"/>
          <w:color w:val="000000"/>
        </w:rPr>
        <w:t xml:space="preserve">o es ideal para productos del sector energético que requieren tiempos de </w:t>
      </w:r>
      <w:r>
        <w:rPr>
          <w:rFonts w:ascii="Arial" w:hAnsi="Arial"/>
          <w:b w:val="0"/>
          <w:i/>
          <w:iCs/>
          <w:color w:val="000000"/>
        </w:rPr>
        <w:t>holdover</w:t>
      </w:r>
      <w:r>
        <w:rPr>
          <w:rFonts w:ascii="Arial" w:hAnsi="Arial"/>
          <w:b w:val="0"/>
          <w:color w:val="000000"/>
        </w:rPr>
        <w:t xml:space="preserve"> más </w:t>
      </w:r>
      <w:r>
        <w:rPr>
          <w:rFonts w:ascii="Arial" w:hAnsi="Arial"/>
          <w:b w:val="0"/>
          <w:color w:val="000000"/>
        </w:rPr>
        <w:t>elevados</w:t>
      </w:r>
      <w:r>
        <w:rPr>
          <w:rFonts w:ascii="Arial" w:hAnsi="Arial"/>
          <w:b w:val="0"/>
          <w:color w:val="000000"/>
        </w:rPr>
        <w:t xml:space="preserve"> debido a los cambios y requisitos que se </w:t>
      </w:r>
      <w:r>
        <w:rPr>
          <w:rFonts w:ascii="Arial" w:hAnsi="Arial"/>
          <w:b w:val="0"/>
          <w:color w:val="000000"/>
        </w:rPr>
        <w:t>prevén</w:t>
      </w:r>
      <w:r>
        <w:rPr>
          <w:rFonts w:ascii="Arial" w:hAnsi="Arial"/>
          <w:b w:val="0"/>
          <w:color w:val="000000"/>
        </w:rPr>
        <w:t xml:space="preserve"> en este sector. El IQCM-200 es conforme a MiFID II.</w:t>
      </w:r>
    </w:p>
    <w:p w14:paraId="1F020F1D" w14:textId="77777777" w:rsidR="002733F2" w:rsidRDefault="009F072D">
      <w:pPr>
        <w:pStyle w:val="Textkrper"/>
        <w:spacing w:before="120" w:after="120" w:line="260" w:lineRule="exact"/>
        <w:jc w:val="both"/>
        <w:rPr>
          <w:rFonts w:ascii="Arial" w:hAnsi="Arial"/>
          <w:b w:val="0"/>
          <w:color w:val="000000"/>
        </w:rPr>
      </w:pPr>
      <w:r>
        <w:rPr>
          <w:rFonts w:ascii="Arial" w:hAnsi="Arial"/>
          <w:b w:val="0"/>
          <w:color w:val="000000"/>
        </w:rPr>
        <w:t>El IQCM-200 forma parte de una serie, a la qu</w:t>
      </w:r>
      <w:r>
        <w:rPr>
          <w:rFonts w:ascii="Arial" w:hAnsi="Arial"/>
          <w:b w:val="0"/>
          <w:color w:val="000000"/>
        </w:rPr>
        <w:t xml:space="preserve">e también pertenecen los modelos IQCM-140, IQCM-310, IQCM-112 e IQCM-100. El IQCM-200 es algo más grande que algunos de los otros modelos, pero presenta una precisión inigualable. </w:t>
      </w:r>
    </w:p>
    <w:p w14:paraId="2D0A7E6A" w14:textId="77777777" w:rsidR="002733F2" w:rsidRDefault="002733F2">
      <w:pPr>
        <w:pStyle w:val="Textkrper"/>
        <w:spacing w:before="120" w:after="120" w:line="260" w:lineRule="exact"/>
        <w:jc w:val="both"/>
        <w:rPr>
          <w:rFonts w:ascii="Arial" w:hAnsi="Arial"/>
          <w:b w:val="0"/>
          <w:color w:val="000000"/>
        </w:rPr>
      </w:pPr>
    </w:p>
    <w:p w14:paraId="06A068CD" w14:textId="77777777" w:rsidR="002733F2" w:rsidRDefault="002733F2">
      <w:pPr>
        <w:pStyle w:val="Textkrper"/>
        <w:spacing w:before="120" w:after="120" w:line="260" w:lineRule="exact"/>
        <w:jc w:val="both"/>
        <w:rPr>
          <w:rFonts w:ascii="Arial" w:hAnsi="Arial"/>
          <w:b w:val="0"/>
          <w:color w:val="000000"/>
        </w:rPr>
      </w:pPr>
    </w:p>
    <w:p w14:paraId="52E12E1A" w14:textId="16841B25" w:rsidR="002733F2" w:rsidRDefault="009F072D">
      <w:pPr>
        <w:pStyle w:val="Textkrper"/>
        <w:spacing w:before="120" w:after="120" w:line="260" w:lineRule="exact"/>
        <w:jc w:val="both"/>
        <w:rPr>
          <w:rFonts w:ascii="Arial" w:hAnsi="Arial"/>
          <w:b w:val="0"/>
          <w:color w:val="000000"/>
        </w:rPr>
      </w:pPr>
      <w:r>
        <w:rPr>
          <w:rFonts w:ascii="Arial" w:hAnsi="Arial"/>
          <w:b w:val="0"/>
          <w:color w:val="000000"/>
        </w:rPr>
        <w:t>Además, también está disponible una placa de evaluación IQCM para esta fa</w:t>
      </w:r>
      <w:r>
        <w:rPr>
          <w:rFonts w:ascii="Arial" w:hAnsi="Arial"/>
          <w:b w:val="0"/>
          <w:color w:val="000000"/>
        </w:rPr>
        <w:t xml:space="preserve">milia. Los detalles de todas las pruebas realizadas, incluido el periodo de </w:t>
      </w:r>
      <w:r>
        <w:rPr>
          <w:rFonts w:ascii="Arial" w:hAnsi="Arial"/>
          <w:b w:val="0"/>
          <w:i/>
          <w:iCs/>
          <w:color w:val="000000"/>
        </w:rPr>
        <w:t>holdover</w:t>
      </w:r>
      <w:r>
        <w:rPr>
          <w:rFonts w:ascii="Arial" w:hAnsi="Arial"/>
          <w:b w:val="0"/>
          <w:color w:val="000000"/>
        </w:rPr>
        <w:t xml:space="preserve"> de 10 días, figuran en el manual IQCM-200, que puede solicitarse al equipo de ventas y </w:t>
      </w:r>
      <w:r>
        <w:rPr>
          <w:rFonts w:ascii="Arial" w:hAnsi="Arial"/>
          <w:b w:val="0"/>
          <w:color w:val="000000"/>
        </w:rPr>
        <w:t>soporte</w:t>
      </w:r>
      <w:r>
        <w:rPr>
          <w:rFonts w:ascii="Arial" w:hAnsi="Arial"/>
          <w:b w:val="0"/>
          <w:color w:val="000000"/>
        </w:rPr>
        <w:t xml:space="preserve"> técnic</w:t>
      </w:r>
      <w:r>
        <w:rPr>
          <w:rFonts w:ascii="Arial" w:hAnsi="Arial"/>
          <w:b w:val="0"/>
          <w:color w:val="000000"/>
        </w:rPr>
        <w:t>o</w:t>
      </w:r>
      <w:r>
        <w:rPr>
          <w:rFonts w:ascii="Arial" w:hAnsi="Arial"/>
          <w:b w:val="0"/>
          <w:color w:val="000000"/>
        </w:rPr>
        <w:t xml:space="preserve"> en </w:t>
      </w:r>
      <w:hyperlink r:id="rId7" w:history="1">
        <w:r>
          <w:rPr>
            <w:rStyle w:val="Hyperlink"/>
            <w:rFonts w:ascii="Arial" w:hAnsi="Arial"/>
            <w:b w:val="0"/>
          </w:rPr>
          <w:t>www.iqdfrequencyproducts.com</w:t>
        </w:r>
      </w:hyperlink>
      <w:r>
        <w:rPr>
          <w:rFonts w:ascii="Arial" w:hAnsi="Arial"/>
          <w:b w:val="0"/>
          <w:color w:val="000000"/>
        </w:rPr>
        <w:t xml:space="preserve">. </w:t>
      </w:r>
    </w:p>
    <w:p w14:paraId="23B28D0A" w14:textId="513B97F3" w:rsidR="002733F2" w:rsidRDefault="009F072D">
      <w:pPr>
        <w:pStyle w:val="Textkrper"/>
        <w:spacing w:before="120" w:after="120" w:line="260" w:lineRule="exact"/>
        <w:jc w:val="both"/>
        <w:rPr>
          <w:rFonts w:ascii="Arial" w:hAnsi="Arial"/>
          <w:b w:val="0"/>
          <w:color w:val="000000"/>
        </w:rPr>
      </w:pPr>
      <w:r>
        <w:rPr>
          <w:rFonts w:ascii="Arial" w:hAnsi="Arial"/>
          <w:b w:val="0"/>
          <w:color w:val="000000"/>
        </w:rPr>
        <w:t>IQD lleva casi 50 años en el mercado de los productos de frecuencia. La empresa ha invertido en sus capacidades de d</w:t>
      </w:r>
      <w:r>
        <w:rPr>
          <w:rFonts w:ascii="Arial" w:hAnsi="Arial"/>
          <w:b w:val="0"/>
          <w:color w:val="000000"/>
        </w:rPr>
        <w:t>iseño</w:t>
      </w:r>
      <w:r>
        <w:rPr>
          <w:rFonts w:ascii="Arial" w:hAnsi="Arial"/>
          <w:b w:val="0"/>
          <w:color w:val="000000"/>
        </w:rPr>
        <w:t xml:space="preserve"> y </w:t>
      </w:r>
      <w:r>
        <w:rPr>
          <w:rFonts w:ascii="Arial" w:hAnsi="Arial"/>
          <w:b w:val="0"/>
          <w:color w:val="000000"/>
        </w:rPr>
        <w:t xml:space="preserve">laboratorio de </w:t>
      </w:r>
      <w:r>
        <w:rPr>
          <w:rFonts w:ascii="Arial" w:hAnsi="Arial"/>
          <w:b w:val="0"/>
          <w:color w:val="000000"/>
        </w:rPr>
        <w:t>medici</w:t>
      </w:r>
      <w:r>
        <w:rPr>
          <w:rFonts w:ascii="Arial" w:hAnsi="Arial"/>
          <w:b w:val="0"/>
          <w:color w:val="000000"/>
        </w:rPr>
        <w:t>ones técnicas</w:t>
      </w:r>
      <w:r>
        <w:rPr>
          <w:rFonts w:ascii="Arial" w:hAnsi="Arial"/>
          <w:b w:val="0"/>
          <w:color w:val="000000"/>
        </w:rPr>
        <w:t xml:space="preserve"> en su sede principal de Gran Bretaña, que también funci</w:t>
      </w:r>
      <w:r>
        <w:rPr>
          <w:rFonts w:ascii="Arial" w:hAnsi="Arial"/>
          <w:b w:val="0"/>
          <w:color w:val="000000"/>
        </w:rPr>
        <w:t xml:space="preserve">ona como centro de competencia para los productos de frecuencia dentro del Grupo Würth Elektronik eiSos. </w:t>
      </w:r>
    </w:p>
    <w:p w14:paraId="13D97A33" w14:textId="77777777" w:rsidR="002733F2" w:rsidRDefault="009F072D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color w:val="000000"/>
        </w:rPr>
        <w:t xml:space="preserve">Esto garantiza que los clientes y las partes interesadas puedan recibir el mejor servicio posible por el que IQD y Würth Elektronik eiSos son </w:t>
      </w:r>
      <w:r>
        <w:rPr>
          <w:rFonts w:ascii="Arial" w:hAnsi="Arial"/>
          <w:b w:val="0"/>
          <w:color w:val="000000"/>
        </w:rPr>
        <w:t>ampliamente conocidos. Este servicio, junto con una calidad y fiabilidad sobresalientes, hace que IQD sea la mejor opción para los OCXO sincronizados.</w:t>
      </w:r>
    </w:p>
    <w:p w14:paraId="20F4DE4E" w14:textId="43298240" w:rsidR="002733F2" w:rsidRDefault="002733F2"/>
    <w:p w14:paraId="2A76AD43" w14:textId="77777777" w:rsidR="00AA24B4" w:rsidRDefault="00AA24B4"/>
    <w:p w14:paraId="6D011E44" w14:textId="77777777" w:rsidR="002733F2" w:rsidRDefault="002733F2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5EF2FEED" w14:textId="77777777" w:rsidR="002733F2" w:rsidRDefault="009F072D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sz w:val="18"/>
        </w:rPr>
        <w:t>Material de imágenes disponible</w:t>
      </w:r>
    </w:p>
    <w:p w14:paraId="2B2ABD6A" w14:textId="77777777" w:rsidR="002733F2" w:rsidRDefault="009F072D">
      <w:pPr>
        <w:spacing w:after="120" w:line="280" w:lineRule="exact"/>
        <w:rPr>
          <w:rStyle w:val="Hyperlink"/>
          <w:rFonts w:ascii="Arial" w:hAnsi="Arial"/>
          <w:sz w:val="18"/>
        </w:rPr>
      </w:pPr>
      <w:r>
        <w:rPr>
          <w:rFonts w:ascii="Arial" w:hAnsi="Arial"/>
          <w:sz w:val="18"/>
        </w:rPr>
        <w:t>El siguiente material de imágenes se halla disponible para impresión y</w:t>
      </w:r>
      <w:r>
        <w:rPr>
          <w:rFonts w:ascii="Arial" w:hAnsi="Arial"/>
          <w:sz w:val="18"/>
        </w:rPr>
        <w:t xml:space="preserve"> descarga en:</w:t>
      </w:r>
      <w:r>
        <w:t xml:space="preserve"> </w:t>
      </w:r>
      <w:hyperlink r:id="rId8" w:history="1">
        <w:r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308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5"/>
      </w:tblGrid>
      <w:tr w:rsidR="002733F2" w14:paraId="6B6F3F32" w14:textId="77777777" w:rsidTr="009F072D">
        <w:trPr>
          <w:trHeight w:val="557"/>
        </w:trPr>
        <w:tc>
          <w:tcPr>
            <w:tcW w:w="3085" w:type="dxa"/>
          </w:tcPr>
          <w:p w14:paraId="292AD662" w14:textId="222F739E" w:rsidR="002733F2" w:rsidRPr="00BC5E64" w:rsidRDefault="009F072D">
            <w:pPr>
              <w:pStyle w:val="txt"/>
            </w:pPr>
            <w:r>
              <w:br/>
            </w:r>
            <w:r w:rsidR="00BC5E64">
              <w:pict w14:anchorId="024B5D3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8" type="#_x0000_t75" style="width:142.5pt;height:142.5pt">
                  <v:imagedata r:id="rId9" o:title=""/>
                </v:shape>
              </w:pict>
            </w:r>
            <w:r w:rsidR="00BC5E64">
              <w:br/>
            </w:r>
            <w:r>
              <w:rPr>
                <w:bCs/>
                <w:sz w:val="16"/>
                <w:szCs w:val="16"/>
              </w:rPr>
              <w:t>Fuente de la imagen: IQD</w:t>
            </w:r>
            <w:r>
              <w:rPr>
                <w:bCs/>
                <w:sz w:val="16"/>
                <w:szCs w:val="16"/>
              </w:rPr>
              <w:br/>
            </w:r>
            <w:r>
              <w:rPr>
                <w:bCs/>
                <w:sz w:val="16"/>
                <w:szCs w:val="16"/>
              </w:rPr>
              <w:br/>
            </w:r>
            <w:r w:rsidR="00BC5E64" w:rsidRPr="00BC5E64">
              <w:rPr>
                <w:b/>
                <w:color w:val="auto"/>
                <w:sz w:val="18"/>
                <w:szCs w:val="18"/>
              </w:rPr>
              <w:t>IQCM-200</w:t>
            </w:r>
            <w:r w:rsidR="00BC5E64">
              <w:rPr>
                <w:b/>
                <w:sz w:val="18"/>
                <w:szCs w:val="18"/>
              </w:rPr>
              <w:t xml:space="preserve">: </w:t>
            </w:r>
            <w:r>
              <w:rPr>
                <w:b/>
                <w:sz w:val="18"/>
                <w:szCs w:val="18"/>
              </w:rPr>
              <w:t>e</w:t>
            </w:r>
            <w:r w:rsidR="00BC5E64" w:rsidRPr="00BC5E64">
              <w:rPr>
                <w:b/>
                <w:sz w:val="18"/>
                <w:szCs w:val="18"/>
              </w:rPr>
              <w:t>l OCXO sincronizado con mayor holdover</w:t>
            </w:r>
            <w:r w:rsidR="00BC5E64">
              <w:rPr>
                <w:b/>
                <w:sz w:val="18"/>
                <w:szCs w:val="18"/>
              </w:rPr>
              <w:br/>
            </w:r>
          </w:p>
        </w:tc>
      </w:tr>
    </w:tbl>
    <w:p w14:paraId="25D859F3" w14:textId="25E1BF47" w:rsidR="002733F2" w:rsidRDefault="002733F2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2714D196" w14:textId="64B931F8" w:rsidR="00AA24B4" w:rsidRDefault="00AA24B4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br w:type="page"/>
      </w:r>
    </w:p>
    <w:p w14:paraId="22827281" w14:textId="77777777" w:rsidR="002733F2" w:rsidRDefault="002733F2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016F8E84" w14:textId="77777777" w:rsidR="002733F2" w:rsidRDefault="009F072D">
      <w:pPr>
        <w:pStyle w:val="Textkrper"/>
        <w:spacing w:before="120" w:after="120" w:line="276" w:lineRule="auto"/>
        <w:jc w:val="both"/>
        <w:rPr>
          <w:rFonts w:ascii="Arial" w:hAnsi="Arial"/>
        </w:rPr>
      </w:pPr>
      <w:r>
        <w:rPr>
          <w:rFonts w:ascii="Arial" w:hAnsi="Arial"/>
        </w:rPr>
        <w:t>Acerca de IQD</w:t>
      </w:r>
    </w:p>
    <w:p w14:paraId="2FBB14A7" w14:textId="4D984E2E" w:rsidR="002733F2" w:rsidRDefault="009F072D">
      <w:pPr>
        <w:pStyle w:val="Textkrper"/>
        <w:spacing w:before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Con más de 40 años de experiencia en la fabricación de productos de frecuencia, IQD es un líder del mercado, reconocido en el segmento de la regulación de frecuencia y forma parte del grupo Würth Elektronik eiSos, uno de los fabricantes líder en Europa de </w:t>
      </w:r>
      <w:r>
        <w:rPr>
          <w:rFonts w:ascii="Arial" w:hAnsi="Arial"/>
          <w:b w:val="0"/>
        </w:rPr>
        <w:t xml:space="preserve">componentes pasivos, con clientes en más de 80 países. </w:t>
      </w:r>
      <w:r>
        <w:rPr>
          <w:rFonts w:ascii="Arial" w:hAnsi="Arial"/>
          <w:b w:val="0"/>
        </w:rPr>
        <w:t xml:space="preserve">IQD ofrece una de los catálogos más extensos de productos de frecuencia, desde productos muy competitivos en coste hasta versiones de </w:t>
      </w:r>
      <w:r>
        <w:rPr>
          <w:rFonts w:ascii="Arial" w:hAnsi="Arial"/>
          <w:b w:val="0"/>
        </w:rPr>
        <w:t>alta fiabilidad para uso en aplicaciones industriales o automoción,</w:t>
      </w:r>
      <w:r>
        <w:rPr>
          <w:rFonts w:ascii="Arial" w:hAnsi="Arial"/>
          <w:b w:val="0"/>
        </w:rPr>
        <w:t xml:space="preserve"> entre ellas: cristales de cuarzo, osciladores y cuarzos AEC-Q200, VCXO, TCXO, OCVCSO y OCXO, OCXO sincronizados por GPS, así como osciladores de rubidio. </w:t>
      </w:r>
    </w:p>
    <w:p w14:paraId="37141513" w14:textId="77777777" w:rsidR="002733F2" w:rsidRDefault="009F072D">
      <w:pPr>
        <w:pStyle w:val="Textkrper"/>
        <w:spacing w:before="120" w:line="276" w:lineRule="auto"/>
        <w:jc w:val="both"/>
        <w:rPr>
          <w:rFonts w:ascii="Arial" w:hAnsi="Arial"/>
        </w:rPr>
      </w:pPr>
      <w:r>
        <w:rPr>
          <w:rFonts w:ascii="Arial" w:hAnsi="Arial"/>
        </w:rPr>
        <w:t>Más información en www.iqdfrequencyproducts.com</w:t>
      </w:r>
    </w:p>
    <w:p w14:paraId="1879470B" w14:textId="77777777" w:rsidR="002733F2" w:rsidRDefault="002733F2">
      <w:pPr>
        <w:pStyle w:val="Textkrper"/>
        <w:spacing w:before="120" w:after="120" w:line="276" w:lineRule="auto"/>
        <w:rPr>
          <w:rFonts w:ascii="Arial" w:hAnsi="Arial"/>
        </w:rPr>
      </w:pPr>
    </w:p>
    <w:p w14:paraId="7FA73793" w14:textId="77777777" w:rsidR="002733F2" w:rsidRDefault="009F072D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>
        <w:rPr>
          <w:rFonts w:ascii="Arial" w:hAnsi="Arial"/>
        </w:rPr>
        <w:t xml:space="preserve">Acerca del Grupo Würth Elektronik eiSos </w:t>
      </w:r>
    </w:p>
    <w:p w14:paraId="4D0C06A6" w14:textId="77777777" w:rsidR="002733F2" w:rsidRDefault="009F072D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bookmarkStart w:id="1" w:name="_Hlk85121817"/>
      <w:bookmarkEnd w:id="0"/>
      <w:r>
        <w:rPr>
          <w:rFonts w:ascii="Arial" w:hAnsi="Arial"/>
          <w:b w:val="0"/>
        </w:rPr>
        <w:t>El Grupo W</w:t>
      </w:r>
      <w:r>
        <w:rPr>
          <w:rFonts w:ascii="Arial" w:hAnsi="Arial"/>
          <w:b w:val="0"/>
        </w:rPr>
        <w:t>ürth Elektronik eiSos es un fabricante de componentes electrónicos y electromecánicos para la industria electrónica, que aporta soluciones electrónicas innovadoras con su liderazgo tecnológico. Würth Elektronik eiSos es uno de los mayores fabricantes europ</w:t>
      </w:r>
      <w:r>
        <w:rPr>
          <w:rFonts w:ascii="Arial" w:hAnsi="Arial"/>
          <w:b w:val="0"/>
        </w:rPr>
        <w:t>eos de componentes pasivos y opera en 50 países. Sus plantas de producción en Europa, Asia y América del Norte suministran productos a un creciente número de clientes en todo el mundo.</w:t>
      </w:r>
    </w:p>
    <w:p w14:paraId="6167FF12" w14:textId="045B8338" w:rsidR="002733F2" w:rsidRDefault="009F072D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La gama de productos incluye componentes para EMC, inductores, transfor</w:t>
      </w:r>
      <w:r>
        <w:rPr>
          <w:rFonts w:ascii="Arial" w:hAnsi="Arial"/>
          <w:b w:val="0"/>
        </w:rPr>
        <w:t xml:space="preserve">madores, componentes de RF, varistores, condensadores, resistencias, cuarzos, osciladores, módulos de alimentación, transferencia de </w:t>
      </w:r>
      <w:r>
        <w:rPr>
          <w:rFonts w:ascii="Arial" w:hAnsi="Arial"/>
          <w:b w:val="0"/>
        </w:rPr>
        <w:t>energia</w:t>
      </w:r>
      <w:r>
        <w:rPr>
          <w:rFonts w:ascii="Arial" w:hAnsi="Arial"/>
          <w:b w:val="0"/>
        </w:rPr>
        <w:t xml:space="preserve"> inalámbrica, LED</w:t>
      </w:r>
      <w:r>
        <w:rPr>
          <w:rFonts w:ascii="Arial" w:hAnsi="Arial"/>
          <w:b w:val="0"/>
        </w:rPr>
        <w:t>’s</w:t>
      </w:r>
      <w:r>
        <w:rPr>
          <w:rFonts w:ascii="Arial" w:hAnsi="Arial"/>
          <w:b w:val="0"/>
        </w:rPr>
        <w:t>, sensores, conectores, elementos para fuentes de alimentación, interruptores, pulsadores</w:t>
      </w:r>
      <w:r>
        <w:rPr>
          <w:rFonts w:ascii="Arial" w:hAnsi="Arial"/>
          <w:b w:val="0"/>
        </w:rPr>
        <w:t>, conexionado, portafusibles, así como soluciones para la transmisión inalámbrica de datos.</w:t>
      </w:r>
    </w:p>
    <w:p w14:paraId="6DB13D89" w14:textId="77777777" w:rsidR="002733F2" w:rsidRDefault="009F072D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La clara vocación de servicio de la empresa se caracteriza por la disponibilidad de todos los componentes del catálogo en stock sin una cantidad mínima de pedido, m</w:t>
      </w:r>
      <w:r>
        <w:rPr>
          <w:rFonts w:ascii="Arial" w:hAnsi="Arial"/>
          <w:b w:val="0"/>
        </w:rPr>
        <w:t xml:space="preserve">uestras gratuitas, haciendo hincapié en el soporte técnico con las herramientas de selección proporcionado por el departamento técnico de ventas. </w:t>
      </w:r>
    </w:p>
    <w:bookmarkEnd w:id="1"/>
    <w:p w14:paraId="27AAE6BF" w14:textId="77777777" w:rsidR="00591E62" w:rsidRDefault="00591E62" w:rsidP="00591E62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1E1BD8">
        <w:rPr>
          <w:rFonts w:ascii="Arial" w:hAnsi="Arial"/>
          <w:b w:val="0"/>
        </w:rPr>
        <w:t xml:space="preserve">Würth Elektronik forma parte del Grupo Würth, líder del mercado mundial de la tecnología de montaje y fijación. La empresa emplea a </w:t>
      </w:r>
      <w:r>
        <w:rPr>
          <w:rFonts w:ascii="Arial" w:hAnsi="Arial"/>
          <w:b w:val="0"/>
        </w:rPr>
        <w:t>80</w:t>
      </w:r>
      <w:r w:rsidRPr="001E1BD8">
        <w:rPr>
          <w:rFonts w:ascii="Arial" w:hAnsi="Arial"/>
          <w:b w:val="0"/>
        </w:rPr>
        <w:t xml:space="preserve">00 trabajadores y generó una facturación de </w:t>
      </w:r>
      <w:r w:rsidRPr="00F30B97">
        <w:rPr>
          <w:rFonts w:ascii="Arial" w:hAnsi="Arial"/>
          <w:b w:val="0"/>
        </w:rPr>
        <w:t>1090 millones de euros</w:t>
      </w:r>
      <w:r w:rsidRPr="001E1BD8">
        <w:rPr>
          <w:rFonts w:ascii="Arial" w:hAnsi="Arial"/>
          <w:b w:val="0"/>
        </w:rPr>
        <w:t xml:space="preserve"> en 20</w:t>
      </w:r>
      <w:r>
        <w:rPr>
          <w:rFonts w:ascii="Arial" w:hAnsi="Arial"/>
          <w:b w:val="0"/>
        </w:rPr>
        <w:t>21</w:t>
      </w:r>
      <w:r w:rsidRPr="001E1BD8">
        <w:rPr>
          <w:rFonts w:ascii="Arial" w:hAnsi="Arial"/>
          <w:b w:val="0"/>
        </w:rPr>
        <w:t>.</w:t>
      </w:r>
    </w:p>
    <w:p w14:paraId="6E488A71" w14:textId="77777777" w:rsidR="002733F2" w:rsidRDefault="009F072D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r>
        <w:rPr>
          <w:rFonts w:ascii="Arial" w:hAnsi="Arial"/>
          <w:b w:val="0"/>
          <w:lang w:val="en-US"/>
        </w:rPr>
        <w:t>Würth Elektronik: more than you expect!</w:t>
      </w:r>
    </w:p>
    <w:p w14:paraId="6FF406B0" w14:textId="77777777" w:rsidR="002733F2" w:rsidRDefault="009F072D">
      <w:pPr>
        <w:pStyle w:val="Textkrper"/>
        <w:spacing w:before="120" w:after="120" w:line="276" w:lineRule="auto"/>
        <w:rPr>
          <w:rFonts w:ascii="Arial" w:hAnsi="Arial"/>
        </w:rPr>
      </w:pPr>
      <w:r>
        <w:rPr>
          <w:rFonts w:ascii="Arial" w:hAnsi="Arial"/>
        </w:rPr>
        <w:t>Más información en www.we-online.com</w:t>
      </w:r>
    </w:p>
    <w:p w14:paraId="7FB16EAB" w14:textId="2FBEE610" w:rsidR="002733F2" w:rsidRDefault="00AA24B4">
      <w:pPr>
        <w:pStyle w:val="Textkrper"/>
        <w:spacing w:before="120" w:after="120" w:line="276" w:lineRule="auto"/>
      </w:pPr>
      <w:r>
        <w:br w:type="page"/>
      </w:r>
    </w:p>
    <w:tbl>
      <w:tblPr>
        <w:tblW w:w="78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8"/>
        <w:gridCol w:w="3517"/>
      </w:tblGrid>
      <w:tr w:rsidR="002733F2" w14:paraId="2BD9A132" w14:textId="77777777" w:rsidTr="002E2BB9">
        <w:trPr>
          <w:trHeight w:val="4365"/>
        </w:trPr>
        <w:tc>
          <w:tcPr>
            <w:tcW w:w="4298" w:type="dxa"/>
            <w:shd w:val="clear" w:color="auto" w:fill="auto"/>
            <w:hideMark/>
          </w:tcPr>
          <w:p w14:paraId="54EF8324" w14:textId="77777777" w:rsidR="002733F2" w:rsidRDefault="009F072D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br w:type="page"/>
            </w:r>
            <w:r>
              <w:rPr>
                <w:rFonts w:ascii="Arial" w:hAnsi="Arial"/>
                <w:bCs w:val="0"/>
                <w:szCs w:val="24"/>
              </w:rPr>
              <w:t>Más información:</w:t>
            </w:r>
          </w:p>
          <w:p w14:paraId="0386E103" w14:textId="0C0F2D78" w:rsidR="002733F2" w:rsidRDefault="009F072D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IQD Frequency Products Ltd</w:t>
            </w:r>
            <w:r>
              <w:rPr>
                <w:rFonts w:ascii="Arial" w:hAnsi="Arial"/>
                <w:sz w:val="20"/>
              </w:rPr>
              <w:br/>
            </w:r>
            <w:r w:rsidR="002E2BB9" w:rsidRPr="00EE1155">
              <w:rPr>
                <w:rFonts w:ascii="Arial" w:hAnsi="Arial"/>
                <w:sz w:val="20"/>
                <w:lang w:val="fr-FR"/>
              </w:rPr>
              <w:t>Isabelle McGowan</w:t>
            </w:r>
            <w:r>
              <w:rPr>
                <w:rFonts w:ascii="Arial" w:hAnsi="Arial"/>
                <w:sz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Station Road</w:t>
            </w:r>
            <w:r>
              <w:rPr>
                <w:rFonts w:ascii="Arial" w:hAnsi="Arial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Crewkerne</w:t>
            </w:r>
            <w:r>
              <w:rPr>
                <w:rFonts w:ascii="Arial" w:hAnsi="Arial"/>
                <w:sz w:val="20"/>
                <w:szCs w:val="20"/>
              </w:rPr>
              <w:br/>
              <w:t>Somerset</w:t>
            </w:r>
            <w:r>
              <w:rPr>
                <w:rFonts w:ascii="Arial" w:hAnsi="Arial"/>
                <w:sz w:val="20"/>
                <w:szCs w:val="20"/>
              </w:rPr>
              <w:br/>
              <w:t>TA18 8AR</w:t>
            </w:r>
            <w:r>
              <w:rPr>
                <w:rFonts w:ascii="Arial" w:hAnsi="Arial"/>
                <w:sz w:val="20"/>
                <w:szCs w:val="20"/>
              </w:rPr>
              <w:br/>
              <w:t>Reino Unido</w:t>
            </w:r>
          </w:p>
          <w:p w14:paraId="6872D6E7" w14:textId="74010F06" w:rsidR="002733F2" w:rsidRDefault="009F072D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Tel.: +44 1460 270270</w:t>
            </w:r>
            <w:r>
              <w:rPr>
                <w:rFonts w:ascii="Arial" w:hAnsi="Arial"/>
                <w:sz w:val="20"/>
              </w:rPr>
              <w:br/>
              <w:t xml:space="preserve">Correo electrónico: </w:t>
            </w:r>
            <w:r w:rsidR="002E2BB9" w:rsidRPr="002F2C48">
              <w:rPr>
                <w:rFonts w:ascii="Arial" w:hAnsi="Arial"/>
                <w:sz w:val="20"/>
                <w:lang w:val="fr-FR"/>
              </w:rPr>
              <w:t>isabelle.mcgowan@iqdfrequencyproducts.com</w:t>
            </w:r>
          </w:p>
          <w:p w14:paraId="18AB3935" w14:textId="77777777" w:rsidR="002733F2" w:rsidRDefault="009F072D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</w:rPr>
              <w:t>www.we-online.com</w:t>
            </w:r>
            <w:r>
              <w:rPr>
                <w:rFonts w:ascii="Arial" w:hAnsi="Arial"/>
                <w:bCs/>
                <w:sz w:val="20"/>
                <w:szCs w:val="20"/>
              </w:rPr>
              <w:br/>
            </w:r>
            <w:hyperlink r:id="rId10" w:history="1">
              <w:r>
                <w:rPr>
                  <w:rFonts w:ascii="Arial" w:hAnsi="Arial"/>
                  <w:sz w:val="20"/>
                  <w:szCs w:val="20"/>
                </w:rPr>
                <w:t>www.iqdfrequencyproducts.com</w:t>
              </w:r>
            </w:hyperlink>
          </w:p>
        </w:tc>
        <w:tc>
          <w:tcPr>
            <w:tcW w:w="3517" w:type="dxa"/>
            <w:shd w:val="clear" w:color="auto" w:fill="auto"/>
            <w:hideMark/>
          </w:tcPr>
          <w:p w14:paraId="7BBE5F32" w14:textId="77777777" w:rsidR="002733F2" w:rsidRDefault="009F072D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rPr>
                <w:rFonts w:ascii="Arial" w:hAnsi="Arial"/>
              </w:rPr>
              <w:t>Contacto para la prensa:</w:t>
            </w:r>
          </w:p>
          <w:p w14:paraId="5157032A" w14:textId="77777777" w:rsidR="002733F2" w:rsidRDefault="009F072D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HighTech communications GmbH</w:t>
            </w:r>
            <w:r>
              <w:br/>
            </w:r>
            <w:r>
              <w:rPr>
                <w:rFonts w:ascii="Arial" w:hAnsi="Arial"/>
                <w:sz w:val="20"/>
              </w:rPr>
              <w:t>Brigitte Basilio</w:t>
            </w:r>
            <w:r>
              <w:br/>
            </w:r>
            <w:r>
              <w:rPr>
                <w:rFonts w:ascii="Arial" w:hAnsi="Arial"/>
                <w:sz w:val="20"/>
              </w:rPr>
              <w:t>Brunhamstrasse 21</w:t>
            </w:r>
            <w:r>
              <w:br/>
            </w:r>
            <w:r>
              <w:rPr>
                <w:rFonts w:ascii="Arial" w:hAnsi="Arial"/>
                <w:sz w:val="20"/>
              </w:rPr>
              <w:t>80339 München</w:t>
            </w:r>
            <w:r>
              <w:rPr>
                <w:rFonts w:ascii="Arial" w:hAnsi="Arial"/>
                <w:sz w:val="20"/>
              </w:rPr>
              <w:br/>
              <w:t>Alemania</w:t>
            </w:r>
          </w:p>
          <w:p w14:paraId="122141CB" w14:textId="77777777" w:rsidR="002733F2" w:rsidRDefault="009F072D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Tel.: +49 89 500778-20</w:t>
            </w:r>
            <w:r>
              <w:br/>
            </w:r>
            <w:r>
              <w:rPr>
                <w:rFonts w:ascii="Arial" w:hAnsi="Arial"/>
                <w:sz w:val="20"/>
              </w:rPr>
              <w:t xml:space="preserve">Fax: +49 89 500778-77 </w:t>
            </w:r>
            <w:r>
              <w:br/>
            </w:r>
            <w:r>
              <w:rPr>
                <w:rFonts w:ascii="Arial" w:hAnsi="Arial"/>
                <w:sz w:val="20"/>
              </w:rPr>
              <w:t>Correo electrónico: b.basilio@htcm.de</w:t>
            </w:r>
          </w:p>
          <w:p w14:paraId="20E5D2ED" w14:textId="77777777" w:rsidR="002733F2" w:rsidRDefault="009F072D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www.htcm.de</w:t>
            </w:r>
          </w:p>
        </w:tc>
      </w:tr>
    </w:tbl>
    <w:p w14:paraId="5709BF7F" w14:textId="77777777" w:rsidR="002733F2" w:rsidRDefault="002733F2">
      <w:pPr>
        <w:pStyle w:val="Textkrper"/>
        <w:spacing w:before="120" w:after="120" w:line="276" w:lineRule="auto"/>
      </w:pPr>
    </w:p>
    <w:sectPr w:rsidR="002733F2">
      <w:headerReference w:type="default" r:id="rId11"/>
      <w:footerReference w:type="default" r:id="rId12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E11C7" w14:textId="77777777" w:rsidR="002733F2" w:rsidRDefault="009F072D">
      <w:r>
        <w:separator/>
      </w:r>
    </w:p>
  </w:endnote>
  <w:endnote w:type="continuationSeparator" w:id="0">
    <w:p w14:paraId="688B2292" w14:textId="77777777" w:rsidR="002733F2" w:rsidRDefault="009F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370E5" w14:textId="22EA4A29" w:rsidR="002733F2" w:rsidRDefault="009F072D">
    <w:pPr>
      <w:pStyle w:val="Fuzeile"/>
      <w:tabs>
        <w:tab w:val="clear" w:pos="4536"/>
        <w:tab w:val="clear" w:pos="9072"/>
        <w:tab w:val="right" w:pos="7088"/>
      </w:tabs>
      <w:rPr>
        <w:sz w:val="16"/>
        <w:szCs w:val="16"/>
        <w:lang w:val="de-DE"/>
      </w:rPr>
    </w:pPr>
    <w:r>
      <w:rPr>
        <w:rFonts w:ascii="Arial" w:hAnsi="Arial" w:cs="Arial"/>
        <w:snapToGrid w:val="0"/>
        <w:sz w:val="16"/>
        <w:szCs w:val="16"/>
      </w:rPr>
      <w:fldChar w:fldCharType="begin"/>
    </w:r>
    <w:r>
      <w:rPr>
        <w:rFonts w:ascii="Arial" w:hAnsi="Arial" w:cs="Arial"/>
        <w:snapToGrid w:val="0"/>
        <w:sz w:val="16"/>
        <w:szCs w:val="16"/>
        <w:lang w:val="de-DE"/>
      </w:rPr>
      <w:instrText xml:space="preserve"> FILENAME  \* MERGEFORMAT </w:instrText>
    </w:r>
    <w:r>
      <w:rPr>
        <w:rFonts w:ascii="Arial" w:hAnsi="Arial" w:cs="Arial"/>
        <w:snapToGrid w:val="0"/>
        <w:sz w:val="16"/>
        <w:szCs w:val="16"/>
      </w:rPr>
      <w:fldChar w:fldCharType="separate"/>
    </w:r>
    <w:r w:rsidR="00591E62">
      <w:rPr>
        <w:rFonts w:ascii="Arial" w:hAnsi="Arial" w:cs="Arial"/>
        <w:noProof/>
        <w:snapToGrid w:val="0"/>
        <w:sz w:val="16"/>
        <w:szCs w:val="16"/>
        <w:lang w:val="de-DE"/>
      </w:rPr>
      <w:t>WTH1PI1086</w:t>
    </w:r>
    <w:r w:rsidR="00BC5E64">
      <w:rPr>
        <w:rFonts w:ascii="Arial" w:hAnsi="Arial" w:cs="Arial"/>
        <w:noProof/>
        <w:snapToGrid w:val="0"/>
        <w:sz w:val="16"/>
        <w:szCs w:val="16"/>
        <w:lang w:val="de-DE"/>
      </w:rPr>
      <w:t>_es</w:t>
    </w:r>
    <w:r w:rsidR="00591E62">
      <w:rPr>
        <w:rFonts w:ascii="Arial" w:hAnsi="Arial" w:cs="Arial"/>
        <w:noProof/>
        <w:snapToGrid w:val="0"/>
        <w:sz w:val="16"/>
        <w:szCs w:val="16"/>
        <w:lang w:val="de-DE"/>
      </w:rPr>
      <w:t>.docx</w:t>
    </w:r>
    <w:r>
      <w:rPr>
        <w:rFonts w:ascii="Arial" w:hAnsi="Arial" w:cs="Arial"/>
        <w:snapToGrid w:val="0"/>
        <w:sz w:val="16"/>
        <w:szCs w:val="16"/>
      </w:rPr>
      <w:fldChar w:fldCharType="end"/>
    </w:r>
    <w:r>
      <w:rPr>
        <w:rFonts w:ascii="Arial" w:hAnsi="Arial"/>
        <w:snapToGrid w:val="0"/>
        <w:sz w:val="16"/>
        <w:szCs w:val="16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0CA8D" w14:textId="77777777" w:rsidR="002733F2" w:rsidRDefault="009F072D">
      <w:r>
        <w:separator/>
      </w:r>
    </w:p>
  </w:footnote>
  <w:footnote w:type="continuationSeparator" w:id="0">
    <w:p w14:paraId="125EFD62" w14:textId="77777777" w:rsidR="002733F2" w:rsidRDefault="009F0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AF5DF" w14:textId="77777777" w:rsidR="002733F2" w:rsidRDefault="009F072D">
    <w:pPr>
      <w:pStyle w:val="Kopfzeile"/>
      <w:tabs>
        <w:tab w:val="clear" w:pos="9072"/>
        <w:tab w:val="right" w:pos="9498"/>
      </w:tabs>
    </w:pPr>
    <w:r>
      <w:rPr>
        <w:noProof/>
      </w:rPr>
      <w:pict w14:anchorId="709E5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4" o:spid="_x0000_s2051" type="#_x0000_t75" style="position:absolute;margin-left:330pt;margin-top:9.05pt;width:148.8pt;height:59.55pt;z-index:-251657216;visibility:visibl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allowincell="f">
          <v:imagedata r:id="rId1" o:title=""/>
        </v:shape>
      </w:pict>
    </w:r>
    <w:r>
      <w:pict w14:anchorId="06938CA2">
        <v:shape id="_x0000_s2049" type="#_x0000_t75" style="position:absolute;margin-left:368.65pt;margin-top:100.2pt;width:98.95pt;height:28.7pt;z-index:251658240">
          <v:imagedata r:id="rId2" o:title="IQD Logo Colou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6882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733F2"/>
    <w:rsid w:val="002733F2"/>
    <w:rsid w:val="002E2BB9"/>
    <w:rsid w:val="00591E62"/>
    <w:rsid w:val="009F072D"/>
    <w:rsid w:val="00AA24B4"/>
    <w:rsid w:val="00BC5E64"/>
    <w:rsid w:val="00E1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00FBA4A4"/>
  <w15:chartTrackingRefBased/>
  <w15:docId w15:val="{CCCDFF95-7EF8-48B9-93D7-C0630F7C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es-ES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s-ES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paragraph" w:customStyle="1" w:styleId="Ends">
    <w:name w:val="Ends"/>
    <w:basedOn w:val="Standard"/>
    <w:link w:val="EndsChar"/>
    <w:qFormat/>
    <w:pPr>
      <w:spacing w:after="240" w:line="288" w:lineRule="auto"/>
      <w:jc w:val="center"/>
    </w:pPr>
    <w:rPr>
      <w:rFonts w:ascii="Arial" w:eastAsia="Calibri" w:hAnsi="Arial" w:cs="Arial"/>
      <w:b/>
      <w:szCs w:val="22"/>
      <w:lang w:eastAsia="en-US"/>
    </w:rPr>
  </w:style>
  <w:style w:type="character" w:customStyle="1" w:styleId="EndsChar">
    <w:name w:val="Ends Char"/>
    <w:link w:val="Ends"/>
    <w:rPr>
      <w:rFonts w:ascii="Arial" w:eastAsia="Calibri" w:hAnsi="Arial" w:cs="Arial"/>
      <w:b/>
      <w:sz w:val="24"/>
      <w:szCs w:val="22"/>
      <w:lang w:val="es-ES" w:eastAsia="en-US"/>
    </w:rPr>
  </w:style>
  <w:style w:type="paragraph" w:customStyle="1" w:styleId="PressReleaseNotes">
    <w:name w:val="Press Release Notes"/>
    <w:basedOn w:val="Standard"/>
    <w:link w:val="PressReleaseNotesChar"/>
    <w:qFormat/>
    <w:pPr>
      <w:spacing w:after="120" w:line="288" w:lineRule="auto"/>
    </w:pPr>
    <w:rPr>
      <w:rFonts w:ascii="Arial" w:eastAsia="Calibri" w:hAnsi="Arial"/>
      <w:sz w:val="20"/>
      <w:szCs w:val="22"/>
      <w:lang w:eastAsia="en-US"/>
    </w:rPr>
  </w:style>
  <w:style w:type="paragraph" w:customStyle="1" w:styleId="PressReleaseNotesFurtherInformation">
    <w:name w:val="Press Release Notes/Further Information"/>
    <w:basedOn w:val="Standard"/>
    <w:qFormat/>
    <w:pPr>
      <w:spacing w:line="288" w:lineRule="auto"/>
    </w:pPr>
    <w:rPr>
      <w:rFonts w:ascii="Arial" w:eastAsia="Calibri" w:hAnsi="Arial"/>
      <w:b/>
      <w:sz w:val="20"/>
      <w:szCs w:val="22"/>
      <w:lang w:eastAsia="en-US"/>
    </w:rPr>
  </w:style>
  <w:style w:type="character" w:customStyle="1" w:styleId="PressReleaseNotesChar">
    <w:name w:val="Press Release Notes Char"/>
    <w:link w:val="PressReleaseNotes"/>
    <w:rPr>
      <w:rFonts w:ascii="Arial" w:eastAsia="Calibri" w:hAnsi="Arial"/>
      <w:szCs w:val="22"/>
      <w:lang w:val="es-ES" w:eastAsia="en-US"/>
    </w:rPr>
  </w:style>
  <w:style w:type="character" w:customStyle="1" w:styleId="KopfzeileZchn">
    <w:name w:val="Kopfzeile Zchn"/>
    <w:link w:val="Kopfzeile"/>
    <w:uiPriority w:val="99"/>
    <w:rPr>
      <w:sz w:val="24"/>
      <w:szCs w:val="24"/>
    </w:rPr>
  </w:style>
  <w:style w:type="paragraph" w:styleId="berarbeitung">
    <w:name w:val="Revision"/>
    <w:hidden/>
    <w:uiPriority w:val="99"/>
    <w:semiHidden/>
    <w:rsid w:val="00591E62"/>
    <w:rPr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htcm.de/press-releases/wuerth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qdfrequencyproducts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qdfrequencyproducts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855</Words>
  <Characters>5393</Characters>
  <DocSecurity>0</DocSecurity>
  <Lines>44</Lines>
  <Paragraphs>12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/>
  <LinksUpToDate>false</LinksUpToDate>
  <CharactersWithSpaces>6236</CharactersWithSpaces>
  <SharedDoc>false</SharedDoc>
  <HLinks>
    <vt:vector size="18" baseType="variant">
      <vt:variant>
        <vt:i4>5439560</vt:i4>
      </vt:variant>
      <vt:variant>
        <vt:i4>6</vt:i4>
      </vt:variant>
      <vt:variant>
        <vt:i4>0</vt:i4>
      </vt:variant>
      <vt:variant>
        <vt:i4>5</vt:i4>
      </vt:variant>
      <vt:variant>
        <vt:lpwstr>http://www.iqdfrequencyproducts.com/</vt:lpwstr>
      </vt:variant>
      <vt:variant>
        <vt:lpwstr/>
      </vt:variant>
      <vt:variant>
        <vt:i4>1835129</vt:i4>
      </vt:variant>
      <vt:variant>
        <vt:i4>3</vt:i4>
      </vt:variant>
      <vt:variant>
        <vt:i4>0</vt:i4>
      </vt:variant>
      <vt:variant>
        <vt:i4>5</vt:i4>
      </vt:variant>
      <vt:variant>
        <vt:lpwstr>../../AppData/Local/Temp/rebecca.long@iqdfrequencyproducts.com</vt:lpwstr>
      </vt:variant>
      <vt:variant>
        <vt:lpwstr/>
      </vt:variant>
      <vt:variant>
        <vt:i4>1835039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2016-02-04T09:10:00Z</cp:lastPrinted>
  <dcterms:created xsi:type="dcterms:W3CDTF">2022-05-16T09:08:00Z</dcterms:created>
  <dcterms:modified xsi:type="dcterms:W3CDTF">2022-05-16T09:14:00Z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