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C447" w14:textId="77777777" w:rsidR="008B5A85" w:rsidRDefault="00564480">
      <w:pPr>
        <w:pStyle w:val="berschrift1"/>
        <w:spacing w:before="720" w:after="720" w:line="260" w:lineRule="exact"/>
        <w:rPr>
          <w:sz w:val="20"/>
        </w:rPr>
      </w:pPr>
      <w:r>
        <w:rPr>
          <w:sz w:val="20"/>
        </w:rPr>
        <w:t>COMUNICATO STAMPA</w:t>
      </w:r>
    </w:p>
    <w:p w14:paraId="6686D718" w14:textId="77777777" w:rsidR="008B5A85" w:rsidRDefault="00564480">
      <w:pPr>
        <w:rPr>
          <w:rFonts w:ascii="Arial" w:hAnsi="Arial" w:cs="Arial"/>
          <w:b/>
          <w:bCs/>
        </w:rPr>
      </w:pPr>
      <w:r>
        <w:rPr>
          <w:rFonts w:ascii="Arial" w:hAnsi="Arial"/>
          <w:b/>
          <w:bCs/>
        </w:rPr>
        <w:t xml:space="preserve">Würth Elektronik pubblica nuove Application Notes sui supercondensatori </w:t>
      </w:r>
    </w:p>
    <w:p w14:paraId="5DF6A4DC" w14:textId="77777777" w:rsidR="008B5A85" w:rsidRDefault="00564480">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Supporto alla progettazione per applicazioni </w:t>
      </w:r>
      <w:r w:rsidRPr="006C4C16">
        <w:rPr>
          <w:rFonts w:ascii="Arial" w:hAnsi="Arial"/>
          <w:b/>
          <w:bCs/>
          <w:color w:val="000000"/>
          <w:sz w:val="36"/>
        </w:rPr>
        <w:t>con</w:t>
      </w:r>
      <w:r>
        <w:rPr>
          <w:rFonts w:ascii="Arial" w:hAnsi="Arial"/>
          <w:b/>
          <w:bCs/>
          <w:color w:val="000000"/>
          <w:sz w:val="36"/>
        </w:rPr>
        <w:t xml:space="preserve"> supercondensatori</w:t>
      </w:r>
    </w:p>
    <w:p w14:paraId="5A1F7066" w14:textId="5BAD0A0C" w:rsidR="008B5A85" w:rsidRDefault="00564480">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6C4C16">
        <w:rPr>
          <w:rFonts w:ascii="Arial" w:hAnsi="Arial"/>
          <w:color w:val="000000"/>
        </w:rPr>
        <w:t>14</w:t>
      </w:r>
      <w:r>
        <w:rPr>
          <w:rFonts w:ascii="Arial" w:hAnsi="Arial"/>
          <w:color w:val="000000"/>
        </w:rPr>
        <w:t xml:space="preserve"> febbraio 2022 – Con il titolo "Sempre </w:t>
      </w:r>
      <w:r>
        <w:rPr>
          <w:rFonts w:ascii="Arial" w:hAnsi="Arial"/>
          <w:color w:val="000000"/>
        </w:rPr>
        <w:t>bilanciati – bilanciamento di supercondensatori" Würth Elektronik ha messo a disposizione sulla propria homepage una nuova guida per gli sviluppatori. Questa nuova pubblicazione tiene conto dell'esperienza maturata nell'ambito dell'assistenza, che ha evide</w:t>
      </w:r>
      <w:r>
        <w:rPr>
          <w:rFonts w:ascii="Arial" w:hAnsi="Arial"/>
          <w:color w:val="000000"/>
        </w:rPr>
        <w:t>nziato la scarsa familiarità degli utenti con i supercondensatori. Già in passato Würth Elektronik aveva messo a disposizione Application Notes, video esplicativi e webinar.</w:t>
      </w:r>
    </w:p>
    <w:p w14:paraId="0327E927" w14:textId="77777777" w:rsidR="008B5A85" w:rsidRDefault="00564480">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Anche se i supercondensatori come la serie Würth Elektronik </w:t>
      </w:r>
      <w:hyperlink r:id="rId8" w:history="1">
        <w:r>
          <w:rPr>
            <w:rStyle w:val="Hyperlink"/>
            <w:rFonts w:ascii="Arial" w:hAnsi="Arial"/>
            <w:b w:val="0"/>
            <w:bCs w:val="0"/>
          </w:rPr>
          <w:t>WCAP-STSC</w:t>
        </w:r>
      </w:hyperlink>
      <w:r>
        <w:rPr>
          <w:rFonts w:ascii="Arial" w:hAnsi="Arial"/>
          <w:b w:val="0"/>
          <w:bCs w:val="0"/>
          <w:color w:val="000000"/>
        </w:rPr>
        <w:t xml:space="preserve"> fondamentalmente si differenziano dagli altri condensatori solo per la maggiore densità di energia, offrono opportunità per applicazioni completamente diverse. I responsabili della gestione prodotti di Wür</w:t>
      </w:r>
      <w:r>
        <w:rPr>
          <w:rFonts w:ascii="Arial" w:hAnsi="Arial"/>
          <w:b w:val="0"/>
          <w:bCs w:val="0"/>
          <w:color w:val="000000"/>
        </w:rPr>
        <w:t>th Elektronik si occupano di affiancare gli sviluppatori in particolar modo nell'utilizzo di condensatori come accumulatori di energia con concetti, criteri di selezione e basi di calcolo.</w:t>
      </w:r>
    </w:p>
    <w:p w14:paraId="2D282674" w14:textId="77777777" w:rsidR="008B5A85" w:rsidRDefault="00564480">
      <w:pPr>
        <w:pStyle w:val="Textkrper"/>
        <w:spacing w:before="120" w:after="120" w:line="260" w:lineRule="exact"/>
        <w:jc w:val="both"/>
        <w:rPr>
          <w:rFonts w:ascii="Arial" w:hAnsi="Arial"/>
          <w:b w:val="0"/>
          <w:bCs w:val="0"/>
        </w:rPr>
      </w:pPr>
      <w:r>
        <w:rPr>
          <w:rFonts w:ascii="Arial" w:hAnsi="Arial"/>
          <w:b w:val="0"/>
          <w:bCs w:val="0"/>
        </w:rPr>
        <w:t xml:space="preserve">Che si tratti di evitare la perdita di dati in caso di un </w:t>
      </w:r>
      <w:proofErr w:type="gramStart"/>
      <w:r>
        <w:rPr>
          <w:rFonts w:ascii="Arial" w:hAnsi="Arial"/>
          <w:b w:val="0"/>
          <w:bCs w:val="0"/>
        </w:rPr>
        <w:t>black-out</w:t>
      </w:r>
      <w:proofErr w:type="gramEnd"/>
      <w:r>
        <w:rPr>
          <w:rFonts w:ascii="Arial" w:hAnsi="Arial"/>
          <w:b w:val="0"/>
          <w:bCs w:val="0"/>
        </w:rPr>
        <w:t xml:space="preserve">, di dispositivi di rete critici o di tecnologie mediche, i supercondensatori sono componenti di lunga durata per un'alimentazione di energia a breve termine. L'Application Note </w:t>
      </w:r>
      <w:hyperlink r:id="rId9" w:history="1">
        <w:r>
          <w:rPr>
            <w:rStyle w:val="Hyperlink"/>
            <w:rFonts w:ascii="Arial" w:hAnsi="Arial"/>
            <w:b w:val="0"/>
            <w:bCs w:val="0"/>
          </w:rPr>
          <w:t>ANP090:</w:t>
        </w:r>
      </w:hyperlink>
      <w:hyperlink r:id="rId10" w:history="1">
        <w:r>
          <w:rPr>
            <w:rStyle w:val="Hyperlink"/>
            <w:rFonts w:ascii="Arial" w:hAnsi="Arial"/>
            <w:b w:val="0"/>
            <w:bCs w:val="0"/>
          </w:rPr>
          <w:t xml:space="preserve"> Sempre bilanciati – bilanciamento di supercondensatori</w:t>
        </w:r>
      </w:hyperlink>
      <w:r>
        <w:rPr>
          <w:rFonts w:ascii="Arial" w:hAnsi="Arial"/>
          <w:b w:val="0"/>
          <w:bCs w:val="0"/>
        </w:rPr>
        <w:t xml:space="preserve"> affronta la </w:t>
      </w:r>
      <w:r w:rsidRPr="006C4C16">
        <w:rPr>
          <w:rFonts w:ascii="Arial" w:hAnsi="Arial"/>
          <w:b w:val="0"/>
          <w:bCs w:val="0"/>
        </w:rPr>
        <w:t>problematica legata al fatto che i supercondensatori in genere operano a tensioni di circ</w:t>
      </w:r>
      <w:r w:rsidRPr="006C4C16">
        <w:rPr>
          <w:rFonts w:ascii="Arial" w:hAnsi="Arial"/>
          <w:b w:val="0"/>
          <w:bCs w:val="0"/>
        </w:rPr>
        <w:t xml:space="preserve">a 2,7 V. Per ottenere tensioni di esercizio superiori, è necessaria una cascata di celle di supercondensatori collegati in serie. Variazioni della capacità e della resistenza </w:t>
      </w:r>
      <w:r w:rsidRPr="006C4C16">
        <w:rPr>
          <w:rFonts w:ascii="Arial" w:hAnsi="Arial"/>
          <w:b w:val="0"/>
          <w:bCs w:val="0"/>
        </w:rPr>
        <w:t>di</w:t>
      </w:r>
      <w:r w:rsidRPr="006C4C16">
        <w:rPr>
          <w:rFonts w:ascii="Arial" w:hAnsi="Arial"/>
          <w:b w:val="0"/>
          <w:bCs w:val="0"/>
        </w:rPr>
        <w:t xml:space="preserve"> isolamento dovute al </w:t>
      </w:r>
      <w:r w:rsidRPr="006C4C16">
        <w:rPr>
          <w:rFonts w:ascii="Arial" w:hAnsi="Arial"/>
          <w:b w:val="0"/>
          <w:bCs w:val="0"/>
        </w:rPr>
        <w:t>processo produttivo</w:t>
      </w:r>
      <w:r w:rsidRPr="006C4C16">
        <w:rPr>
          <w:rFonts w:ascii="Arial" w:hAnsi="Arial"/>
          <w:b w:val="0"/>
          <w:bCs w:val="0"/>
        </w:rPr>
        <w:t xml:space="preserve"> o all'invecchiamento rendono necessario un bilanciamento della tensione. L'Application Note a cura di René Kalbitz, Product manager e di Frank Puhane, Leader Technical Engineering presso Würth Elektronik eiSos per la divisione condensatori, affronta basi </w:t>
      </w:r>
      <w:r w:rsidRPr="006C4C16">
        <w:rPr>
          <w:rFonts w:ascii="Arial" w:hAnsi="Arial"/>
          <w:b w:val="0"/>
          <w:bCs w:val="0"/>
        </w:rPr>
        <w:t>teoriche, misurazioni ed esempi pratici offrendo numerosi concetti di bilanciamento.</w:t>
      </w:r>
    </w:p>
    <w:p w14:paraId="78580D33" w14:textId="77777777" w:rsidR="008B5A85" w:rsidRDefault="00564480">
      <w:pPr>
        <w:pStyle w:val="Textkrper"/>
        <w:spacing w:before="120" w:after="120" w:line="260" w:lineRule="exact"/>
        <w:jc w:val="both"/>
        <w:rPr>
          <w:rFonts w:ascii="Arial" w:hAnsi="Arial"/>
          <w:b w:val="0"/>
          <w:bCs w:val="0"/>
        </w:rPr>
      </w:pPr>
      <w:r>
        <w:rPr>
          <w:rFonts w:ascii="Arial" w:hAnsi="Arial"/>
          <w:b w:val="0"/>
          <w:bCs w:val="0"/>
        </w:rPr>
        <w:t>Tutti i testi e i video riguardanti i supercondensatori sono collegati alla pagina di prodotto</w:t>
      </w:r>
      <w:hyperlink r:id="rId11" w:history="1">
        <w:r>
          <w:rPr>
            <w:rStyle w:val="Hyperlink"/>
            <w:rFonts w:ascii="Arial" w:hAnsi="Arial"/>
            <w:b w:val="0"/>
            <w:bCs w:val="0"/>
          </w:rPr>
          <w:t xml:space="preserve"> WCAP-STSC</w:t>
        </w:r>
      </w:hyperlink>
      <w:r>
        <w:rPr>
          <w:rFonts w:ascii="Arial" w:hAnsi="Arial"/>
          <w:b w:val="0"/>
          <w:bCs w:val="0"/>
        </w:rPr>
        <w:t xml:space="preserve">. </w:t>
      </w:r>
    </w:p>
    <w:p w14:paraId="64FF654C" w14:textId="77777777" w:rsidR="008B5A85" w:rsidRDefault="00564480">
      <w:pPr>
        <w:pStyle w:val="Textkrper"/>
        <w:spacing w:before="120" w:after="120" w:line="260" w:lineRule="exact"/>
        <w:jc w:val="both"/>
        <w:rPr>
          <w:rFonts w:ascii="Arial" w:hAnsi="Arial"/>
          <w:b w:val="0"/>
          <w:bCs w:val="0"/>
        </w:rPr>
      </w:pPr>
      <w:proofErr w:type="gramStart"/>
      <w:r>
        <w:rPr>
          <w:rFonts w:ascii="Arial" w:hAnsi="Arial"/>
          <w:b w:val="0"/>
          <w:bCs w:val="0"/>
        </w:rPr>
        <w:t>I</w:t>
      </w:r>
      <w:r>
        <w:rPr>
          <w:rFonts w:ascii="Arial" w:hAnsi="Arial"/>
          <w:b w:val="0"/>
          <w:bCs w:val="0"/>
        </w:rPr>
        <w:t>noltre</w:t>
      </w:r>
      <w:proofErr w:type="gramEnd"/>
      <w:r>
        <w:rPr>
          <w:rFonts w:ascii="Arial" w:hAnsi="Arial"/>
          <w:b w:val="0"/>
          <w:bCs w:val="0"/>
        </w:rPr>
        <w:t xml:space="preserve"> Würth Elektronik offre l'</w:t>
      </w:r>
      <w:hyperlink r:id="rId12" w:history="1">
        <w:r>
          <w:rPr>
            <w:rStyle w:val="Hyperlink"/>
            <w:rFonts w:ascii="Arial" w:hAnsi="Arial"/>
            <w:b w:val="0"/>
            <w:bCs w:val="0"/>
          </w:rPr>
          <w:t>ABC dei condensatori</w:t>
        </w:r>
      </w:hyperlink>
      <w:r>
        <w:rPr>
          <w:rFonts w:ascii="Arial" w:hAnsi="Arial"/>
          <w:b w:val="0"/>
          <w:bCs w:val="0"/>
        </w:rPr>
        <w:t>, una pubblicazione specialistica che introduce alla tecnologia dei condensatori.</w:t>
      </w:r>
    </w:p>
    <w:p w14:paraId="34DDF38B" w14:textId="58786F56" w:rsidR="008B5A85" w:rsidRDefault="00564480">
      <w:pPr>
        <w:pStyle w:val="Textkrper"/>
        <w:spacing w:before="120" w:after="120" w:line="260" w:lineRule="exact"/>
        <w:jc w:val="both"/>
      </w:pPr>
      <w:r>
        <w:br w:type="page"/>
      </w:r>
    </w:p>
    <w:p w14:paraId="1F5420CB" w14:textId="77777777" w:rsidR="00DA078B" w:rsidRDefault="00DA078B">
      <w:pPr>
        <w:pStyle w:val="Textkrper"/>
        <w:spacing w:before="120" w:after="120" w:line="260" w:lineRule="exact"/>
        <w:jc w:val="both"/>
        <w:rPr>
          <w:rFonts w:ascii="Arial" w:hAnsi="Arial"/>
          <w:b w:val="0"/>
          <w:bCs w:val="0"/>
        </w:rPr>
      </w:pPr>
    </w:p>
    <w:p w14:paraId="41D4FAA8" w14:textId="77777777" w:rsidR="008B5A85" w:rsidRDefault="008B5A85">
      <w:pPr>
        <w:pStyle w:val="PITextkrper"/>
        <w:pBdr>
          <w:top w:val="single" w:sz="4" w:space="1" w:color="auto"/>
        </w:pBdr>
        <w:spacing w:before="240"/>
        <w:rPr>
          <w:b/>
          <w:sz w:val="18"/>
          <w:szCs w:val="18"/>
        </w:rPr>
      </w:pPr>
    </w:p>
    <w:p w14:paraId="2686BC63" w14:textId="77777777" w:rsidR="00DA078B" w:rsidRPr="004D044E" w:rsidRDefault="00DA078B" w:rsidP="00DA078B">
      <w:pPr>
        <w:spacing w:after="120" w:line="280" w:lineRule="exact"/>
        <w:rPr>
          <w:rFonts w:ascii="Arial" w:hAnsi="Arial" w:cs="Arial"/>
          <w:b/>
          <w:bCs/>
          <w:sz w:val="18"/>
          <w:szCs w:val="18"/>
        </w:rPr>
      </w:pPr>
      <w:r>
        <w:rPr>
          <w:rFonts w:ascii="Arial" w:hAnsi="Arial"/>
          <w:b/>
          <w:sz w:val="18"/>
        </w:rPr>
        <w:t>Immagini disponibili</w:t>
      </w:r>
    </w:p>
    <w:p w14:paraId="19F5DF7C" w14:textId="77777777" w:rsidR="00DA078B" w:rsidRPr="004D044E" w:rsidRDefault="00DA078B" w:rsidP="00DA078B">
      <w:pPr>
        <w:spacing w:after="120" w:line="280" w:lineRule="exact"/>
        <w:rPr>
          <w:b/>
          <w:sz w:val="18"/>
          <w:szCs w:val="18"/>
        </w:rPr>
      </w:pPr>
      <w:r>
        <w:rPr>
          <w:rFonts w:ascii="Arial" w:hAnsi="Arial"/>
          <w:sz w:val="18"/>
        </w:rPr>
        <w:t>Le seguenti immagini possono essere scaricate da internet e stampate:</w:t>
      </w:r>
      <w:r>
        <w:t xml:space="preserve"> </w:t>
      </w:r>
      <w:hyperlink r:id="rId13"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B5A85" w14:paraId="5E7ECBFA" w14:textId="77777777">
        <w:trPr>
          <w:trHeight w:val="1701"/>
        </w:trPr>
        <w:tc>
          <w:tcPr>
            <w:tcW w:w="3510" w:type="dxa"/>
          </w:tcPr>
          <w:p w14:paraId="0DDB09A3" w14:textId="77777777" w:rsidR="008B5A85" w:rsidRDefault="00564480">
            <w:pPr>
              <w:pStyle w:val="txt"/>
              <w:rPr>
                <w:b/>
                <w:bCs/>
                <w:sz w:val="18"/>
              </w:rPr>
            </w:pPr>
            <w:r>
              <w:rPr>
                <w:b/>
              </w:rPr>
              <w:br/>
            </w:r>
            <w:r>
              <w:rPr>
                <w:noProof/>
                <w:lang w:val="en-US" w:eastAsia="zh-CN"/>
              </w:rPr>
              <w:drawing>
                <wp:inline distT="0" distB="0" distL="0" distR="0" wp14:anchorId="32633D13" wp14:editId="242ADCDE">
                  <wp:extent cx="2142490" cy="1446530"/>
                  <wp:effectExtent l="0" t="0" r="0" b="0"/>
                  <wp:docPr id="3" name="Bild 1" descr="https://www.we-online.com/katalog/media/o129765v209 WCAP-STSC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129765v209 WCAP-STSC_group.jpg"/>
                          <pic:cNvPicPr>
                            <a:picLocks noChangeAspect="1" noChangeArrowheads="1"/>
                          </pic:cNvPicPr>
                        </pic:nvPicPr>
                        <pic:blipFill>
                          <a:blip r:embed="rId14" cstate="print">
                            <a:extLst>
                              <a:ext uri="{28A0092B-C50C-407E-A947-70E740481C1C}">
                                <a14:useLocalDpi xmlns:a14="http://schemas.microsoft.com/office/drawing/2010/main" val="0"/>
                              </a:ext>
                            </a:extLst>
                          </a:blip>
                          <a:srcRect t="16444" b="16473"/>
                          <a:stretch>
                            <a:fillRect/>
                          </a:stretch>
                        </pic:blipFill>
                        <pic:spPr bwMode="auto">
                          <a:xfrm>
                            <a:off x="0" y="0"/>
                            <a:ext cx="2142490" cy="1446530"/>
                          </a:xfrm>
                          <a:prstGeom prst="rect">
                            <a:avLst/>
                          </a:prstGeom>
                          <a:noFill/>
                          <a:ln>
                            <a:noFill/>
                          </a:ln>
                        </pic:spPr>
                      </pic:pic>
                    </a:graphicData>
                  </a:graphic>
                </wp:inline>
              </w:drawing>
            </w:r>
            <w:r>
              <w:rPr>
                <w:bCs/>
                <w:sz w:val="16"/>
                <w:szCs w:val="16"/>
              </w:rPr>
              <w:t xml:space="preserve">Foto di: Würth Elektronik </w:t>
            </w:r>
          </w:p>
          <w:p w14:paraId="270D74AE" w14:textId="77777777" w:rsidR="008B5A85" w:rsidRDefault="00564480">
            <w:pPr>
              <w:autoSpaceDE w:val="0"/>
              <w:autoSpaceDN w:val="0"/>
              <w:adjustRightInd w:val="0"/>
              <w:rPr>
                <w:rFonts w:ascii="Arial" w:hAnsi="Arial" w:cs="Arial"/>
                <w:b/>
                <w:sz w:val="18"/>
                <w:szCs w:val="18"/>
              </w:rPr>
            </w:pPr>
            <w:r>
              <w:rPr>
                <w:rFonts w:ascii="Arial" w:hAnsi="Arial"/>
                <w:b/>
                <w:sz w:val="18"/>
                <w:szCs w:val="18"/>
              </w:rPr>
              <w:t>Quando si utilizzano supercondensatori come la serie WCAP-STSC, vi sono altri fattori di cui tenere conto rispetto ai condensatori tradizionali. Würth Elektronik supporta gli sviluppatori con Application Notes e assistenza alla p</w:t>
            </w:r>
            <w:r>
              <w:rPr>
                <w:rFonts w:ascii="Arial" w:hAnsi="Arial"/>
                <w:b/>
                <w:sz w:val="18"/>
                <w:szCs w:val="18"/>
              </w:rPr>
              <w:t>rogettazione.</w:t>
            </w:r>
          </w:p>
          <w:p w14:paraId="4A41EF1B" w14:textId="77777777" w:rsidR="008B5A85" w:rsidRDefault="008B5A85">
            <w:pPr>
              <w:autoSpaceDE w:val="0"/>
              <w:autoSpaceDN w:val="0"/>
              <w:adjustRightInd w:val="0"/>
              <w:rPr>
                <w:rFonts w:ascii="Arial" w:hAnsi="Arial" w:cs="Arial"/>
                <w:b/>
                <w:bCs/>
                <w:sz w:val="18"/>
                <w:szCs w:val="18"/>
              </w:rPr>
            </w:pPr>
          </w:p>
        </w:tc>
      </w:tr>
    </w:tbl>
    <w:p w14:paraId="1D64782E" w14:textId="1359FD37" w:rsidR="008B5A85" w:rsidRDefault="008B5A85">
      <w:pPr>
        <w:pStyle w:val="Textkrper"/>
        <w:spacing w:before="120" w:after="120" w:line="260" w:lineRule="exact"/>
        <w:jc w:val="both"/>
        <w:rPr>
          <w:rFonts w:ascii="Arial" w:hAnsi="Arial"/>
          <w:b w:val="0"/>
          <w:bCs w:val="0"/>
        </w:rPr>
      </w:pPr>
    </w:p>
    <w:p w14:paraId="70FF1709" w14:textId="77777777" w:rsidR="00DA078B" w:rsidRPr="004C0F82" w:rsidRDefault="00DA078B" w:rsidP="00DA078B">
      <w:pPr>
        <w:pStyle w:val="Textkrper"/>
        <w:spacing w:before="120" w:after="120" w:line="260" w:lineRule="exact"/>
        <w:jc w:val="both"/>
        <w:rPr>
          <w:rFonts w:ascii="Arial" w:hAnsi="Arial"/>
          <w:b w:val="0"/>
          <w:bCs w:val="0"/>
        </w:rPr>
      </w:pPr>
    </w:p>
    <w:p w14:paraId="0523B513" w14:textId="77777777" w:rsidR="00DA078B" w:rsidRPr="004C0F82" w:rsidRDefault="00DA078B" w:rsidP="00DA078B">
      <w:pPr>
        <w:pStyle w:val="PITextkrper"/>
        <w:pBdr>
          <w:top w:val="single" w:sz="4" w:space="1" w:color="auto"/>
        </w:pBdr>
        <w:spacing w:before="240"/>
        <w:rPr>
          <w:b/>
          <w:sz w:val="18"/>
          <w:szCs w:val="18"/>
          <w:lang w:val="de-DE"/>
        </w:rPr>
      </w:pPr>
    </w:p>
    <w:p w14:paraId="45E656AB" w14:textId="77777777" w:rsidR="00DA078B" w:rsidRDefault="00DA078B" w:rsidP="00DA078B">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3097C3E0" w14:textId="77777777" w:rsidR="00DA078B" w:rsidRPr="008228F7" w:rsidRDefault="00DA078B" w:rsidP="00DA078B">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4942357A" w14:textId="77777777" w:rsidR="00DA078B" w:rsidRPr="008228F7" w:rsidRDefault="00DA078B" w:rsidP="00DA078B">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C2AD13A" w14:textId="51A97E34" w:rsidR="00DA078B" w:rsidRDefault="00DA078B">
      <w:pPr>
        <w:rPr>
          <w:rFonts w:ascii="Arial" w:hAnsi="Arial"/>
          <w:b/>
        </w:rPr>
      </w:pPr>
      <w:r>
        <w:rPr>
          <w:rFonts w:ascii="Arial" w:hAnsi="Arial"/>
          <w:b/>
        </w:rPr>
        <w:br w:type="page"/>
      </w:r>
    </w:p>
    <w:p w14:paraId="6E5B6C73" w14:textId="77777777" w:rsidR="00DA078B" w:rsidRDefault="00DA078B">
      <w:pPr>
        <w:rPr>
          <w:rFonts w:ascii="Arial" w:hAnsi="Arial" w:cs="Arial"/>
          <w:bCs/>
          <w:sz w:val="20"/>
          <w:szCs w:val="20"/>
        </w:rPr>
      </w:pPr>
    </w:p>
    <w:p w14:paraId="7EDB3C33" w14:textId="76B5EBFA" w:rsidR="00DA078B" w:rsidRDefault="00DA078B" w:rsidP="00DA078B">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CCD37E7" w14:textId="77777777" w:rsidR="00DA078B" w:rsidRDefault="00DA078B" w:rsidP="00DA078B">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27E6753B" w14:textId="77777777" w:rsidR="00DA078B" w:rsidRPr="00BB2A0F" w:rsidRDefault="00DA078B" w:rsidP="00DA078B">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4F2C29E1" w14:textId="77777777" w:rsidR="00DA078B" w:rsidRDefault="00DA078B" w:rsidP="00DA078B">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6C4F8795" w14:textId="77777777" w:rsidR="00DA078B" w:rsidRPr="00212CFC" w:rsidRDefault="00DA078B" w:rsidP="00DA078B">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A078B" w:rsidRPr="00625C04" w14:paraId="458E3BBB" w14:textId="77777777" w:rsidTr="00895691">
        <w:tc>
          <w:tcPr>
            <w:tcW w:w="3902" w:type="dxa"/>
            <w:shd w:val="clear" w:color="auto" w:fill="auto"/>
            <w:hideMark/>
          </w:tcPr>
          <w:p w14:paraId="42116015" w14:textId="77777777" w:rsidR="00DA078B" w:rsidRPr="00A06F99" w:rsidRDefault="00DA078B" w:rsidP="00895691">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2F9FD055" w14:textId="77777777" w:rsidR="00DA078B" w:rsidRPr="00A06F99" w:rsidRDefault="00DA078B" w:rsidP="00895691">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21082A64" w14:textId="77777777" w:rsidR="00DA078B" w:rsidRPr="00A06F99" w:rsidRDefault="00DA078B" w:rsidP="00895691">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514F0C2E" w14:textId="77777777" w:rsidR="00DA078B" w:rsidRPr="00625C04" w:rsidRDefault="00DA078B" w:rsidP="00895691">
            <w:pPr>
              <w:spacing w:before="120" w:after="120" w:line="276" w:lineRule="auto"/>
              <w:rPr>
                <w:rFonts w:ascii="Arial" w:hAnsi="Arial" w:cs="Arial"/>
                <w:bCs/>
                <w:sz w:val="20"/>
              </w:rPr>
            </w:pPr>
            <w:r>
              <w:rPr>
                <w:rFonts w:ascii="Arial" w:hAnsi="Arial"/>
                <w:sz w:val="20"/>
              </w:rPr>
              <w:t>www.we-online.com</w:t>
            </w:r>
          </w:p>
          <w:p w14:paraId="60930FFC" w14:textId="77777777" w:rsidR="00DA078B" w:rsidRPr="00625C04" w:rsidRDefault="00DA078B" w:rsidP="00895691">
            <w:pPr>
              <w:spacing w:before="120" w:after="120" w:line="276" w:lineRule="auto"/>
              <w:rPr>
                <w:rFonts w:ascii="Arial" w:hAnsi="Arial" w:cs="Arial"/>
                <w:bCs/>
                <w:sz w:val="20"/>
              </w:rPr>
            </w:pPr>
          </w:p>
        </w:tc>
        <w:tc>
          <w:tcPr>
            <w:tcW w:w="3193" w:type="dxa"/>
            <w:shd w:val="clear" w:color="auto" w:fill="auto"/>
            <w:hideMark/>
          </w:tcPr>
          <w:p w14:paraId="04D91722" w14:textId="77777777" w:rsidR="00DA078B" w:rsidRPr="00625C04" w:rsidRDefault="00DA078B" w:rsidP="00895691">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17592C00" w14:textId="77777777" w:rsidR="00DA078B" w:rsidRPr="00625C04" w:rsidRDefault="00DA078B" w:rsidP="00895691">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52F9BBC3" w14:textId="77777777" w:rsidR="00DA078B" w:rsidRPr="00625C04" w:rsidRDefault="00DA078B" w:rsidP="00895691">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51A517C8" w14:textId="77777777" w:rsidR="00DA078B" w:rsidRPr="00625C04" w:rsidRDefault="00DA078B" w:rsidP="00895691">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E53D429" w14:textId="77777777" w:rsidR="00DA078B" w:rsidRDefault="00DA078B">
      <w:pPr>
        <w:pStyle w:val="Textkrper"/>
        <w:spacing w:before="120" w:after="120" w:line="260" w:lineRule="exact"/>
        <w:jc w:val="both"/>
        <w:rPr>
          <w:rFonts w:ascii="Arial" w:hAnsi="Arial"/>
          <w:b w:val="0"/>
          <w:bCs w:val="0"/>
        </w:rPr>
      </w:pPr>
    </w:p>
    <w:sectPr w:rsidR="00DA078B">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690A" w14:textId="77777777" w:rsidR="008B5A85" w:rsidRDefault="00564480">
      <w:r>
        <w:separator/>
      </w:r>
    </w:p>
  </w:endnote>
  <w:endnote w:type="continuationSeparator" w:id="0">
    <w:p w14:paraId="7FF56BBF" w14:textId="77777777" w:rsidR="008B5A85" w:rsidRDefault="0056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C537" w14:textId="77777777" w:rsidR="008B5A85" w:rsidRDefault="0056448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WTH1PI1044.docx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C56C" w14:textId="77777777" w:rsidR="008B5A85" w:rsidRDefault="00564480">
      <w:r>
        <w:separator/>
      </w:r>
    </w:p>
  </w:footnote>
  <w:footnote w:type="continuationSeparator" w:id="0">
    <w:p w14:paraId="3CC08A28" w14:textId="77777777" w:rsidR="008B5A85" w:rsidRDefault="0056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4B5C" w14:textId="77777777" w:rsidR="008B5A85" w:rsidRDefault="00564480">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34DEAB7" wp14:editId="4F323C2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85"/>
    <w:rsid w:val="00564480"/>
    <w:rsid w:val="006C4C16"/>
    <w:rsid w:val="008B5A85"/>
    <w:rsid w:val="00DA078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2DCF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830435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4456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297829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98667442">
      <w:bodyDiv w:val="1"/>
      <w:marLeft w:val="0"/>
      <w:marRight w:val="0"/>
      <w:marTop w:val="0"/>
      <w:marBottom w:val="0"/>
      <w:divBdr>
        <w:top w:val="none" w:sz="0" w:space="0" w:color="auto"/>
        <w:left w:val="none" w:sz="0" w:space="0" w:color="auto"/>
        <w:bottom w:val="none" w:sz="0" w:space="0" w:color="auto"/>
        <w:right w:val="none" w:sz="0" w:space="0" w:color="auto"/>
      </w:divBdr>
      <w:divsChild>
        <w:div w:id="152919320">
          <w:marLeft w:val="0"/>
          <w:marRight w:val="0"/>
          <w:marTop w:val="0"/>
          <w:marBottom w:val="0"/>
          <w:divBdr>
            <w:top w:val="none" w:sz="0" w:space="0" w:color="auto"/>
            <w:left w:val="none" w:sz="0" w:space="0" w:color="auto"/>
            <w:bottom w:val="none" w:sz="0" w:space="0" w:color="auto"/>
            <w:right w:val="none" w:sz="0" w:space="0" w:color="auto"/>
          </w:divBdr>
        </w:div>
        <w:div w:id="62928460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7980260">
      <w:bodyDiv w:val="1"/>
      <w:marLeft w:val="0"/>
      <w:marRight w:val="0"/>
      <w:marTop w:val="0"/>
      <w:marBottom w:val="0"/>
      <w:divBdr>
        <w:top w:val="none" w:sz="0" w:space="0" w:color="auto"/>
        <w:left w:val="none" w:sz="0" w:space="0" w:color="auto"/>
        <w:bottom w:val="none" w:sz="0" w:space="0" w:color="auto"/>
        <w:right w:val="none" w:sz="0" w:space="0" w:color="auto"/>
      </w:divBdr>
    </w:div>
    <w:div w:id="20102087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7429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CAP-STSC" TargetMode="Externa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ABC_OF_CAPACITORS_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WCAP-STS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catalog/media/o671684v410%20ANP090a_EN.pdf" TargetMode="External"/><Relationship Id="rId4" Type="http://schemas.openxmlformats.org/officeDocument/2006/relationships/settings" Target="settings.xml"/><Relationship Id="rId9" Type="http://schemas.openxmlformats.org/officeDocument/2006/relationships/hyperlink" Target="https://www.we-online.com/catalog/media/o671684v410%20ANP090a_EN.pdf"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488A-9D55-49A8-9DBD-156A188D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4543</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2022-02-11T17:06:00Z</dcterms:created>
  <dcterms:modified xsi:type="dcterms:W3CDTF">2022-02-11T17:06:00Z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