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A5E7" w14:textId="77777777" w:rsidR="007F5F5F" w:rsidRDefault="00EB30D7">
      <w:pPr>
        <w:pStyle w:val="berschrift1"/>
        <w:spacing w:before="720" w:after="720" w:line="260" w:lineRule="exact"/>
        <w:rPr>
          <w:sz w:val="20"/>
          <w:lang w:bidi="it-IT"/>
        </w:rPr>
      </w:pPr>
      <w:r>
        <w:rPr>
          <w:sz w:val="20"/>
          <w:lang w:bidi="it-IT"/>
        </w:rPr>
        <w:t>MEDIENINFORMATION</w:t>
      </w:r>
    </w:p>
    <w:p w14:paraId="21FE7BA4" w14:textId="78F06858" w:rsidR="007F5F5F" w:rsidRDefault="00EB30D7">
      <w:pPr>
        <w:rPr>
          <w:rFonts w:ascii="Arial" w:hAnsi="Arial" w:cs="Arial"/>
          <w:b/>
          <w:bCs/>
        </w:rPr>
      </w:pPr>
      <w:r>
        <w:rPr>
          <w:rFonts w:ascii="Arial" w:hAnsi="Arial" w:cs="Arial"/>
          <w:b/>
          <w:bCs/>
        </w:rPr>
        <w:t xml:space="preserve">Würth Elektronik veröffentlicht weitere </w:t>
      </w:r>
      <w:proofErr w:type="spellStart"/>
      <w:r>
        <w:rPr>
          <w:rFonts w:ascii="Arial" w:hAnsi="Arial" w:cs="Arial"/>
          <w:b/>
          <w:bCs/>
        </w:rPr>
        <w:t>Application</w:t>
      </w:r>
      <w:proofErr w:type="spellEnd"/>
      <w:r w:rsidR="00234853">
        <w:rPr>
          <w:rFonts w:ascii="Arial" w:hAnsi="Arial" w:cs="Arial"/>
          <w:b/>
          <w:bCs/>
        </w:rPr>
        <w:t xml:space="preserve"> </w:t>
      </w:r>
      <w:r>
        <w:rPr>
          <w:rFonts w:ascii="Arial" w:hAnsi="Arial" w:cs="Arial"/>
          <w:b/>
          <w:bCs/>
        </w:rPr>
        <w:t xml:space="preserve">Note zu </w:t>
      </w:r>
      <w:proofErr w:type="spellStart"/>
      <w:r>
        <w:rPr>
          <w:rFonts w:ascii="Arial" w:hAnsi="Arial" w:cs="Arial"/>
          <w:b/>
          <w:bCs/>
        </w:rPr>
        <w:t>Supercapacitors</w:t>
      </w:r>
      <w:proofErr w:type="spellEnd"/>
      <w:r>
        <w:rPr>
          <w:rFonts w:ascii="Arial" w:hAnsi="Arial" w:cs="Arial"/>
          <w:b/>
          <w:bCs/>
        </w:rPr>
        <w:t xml:space="preserve"> </w:t>
      </w:r>
    </w:p>
    <w:p w14:paraId="3ADA0BA2" w14:textId="77777777" w:rsidR="007F5F5F" w:rsidRDefault="00EB30D7">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Design-In-Unterstützung für Superkondensatoranwendungen</w:t>
      </w:r>
    </w:p>
    <w:p w14:paraId="59FD2383" w14:textId="0270DC88" w:rsidR="007F5F5F" w:rsidRDefault="00EB30D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351910">
        <w:rPr>
          <w:rFonts w:ascii="Arial" w:hAnsi="Arial"/>
          <w:color w:val="000000"/>
        </w:rPr>
        <w:t>3.</w:t>
      </w:r>
      <w:r>
        <w:rPr>
          <w:rFonts w:ascii="Arial" w:hAnsi="Arial"/>
          <w:color w:val="000000"/>
        </w:rPr>
        <w:t xml:space="preserve"> </w:t>
      </w:r>
      <w:r w:rsidR="0040672B">
        <w:rPr>
          <w:rFonts w:ascii="Arial" w:hAnsi="Arial"/>
          <w:color w:val="000000"/>
        </w:rPr>
        <w:t xml:space="preserve">Februar </w:t>
      </w:r>
      <w:r>
        <w:rPr>
          <w:rFonts w:ascii="Arial" w:hAnsi="Arial"/>
          <w:color w:val="000000"/>
        </w:rPr>
        <w:t xml:space="preserve">2022 – Unter dem Titel „Immer im Gleichgewicht – </w:t>
      </w:r>
      <w:proofErr w:type="spellStart"/>
      <w:r>
        <w:rPr>
          <w:rFonts w:ascii="Arial" w:hAnsi="Arial"/>
          <w:color w:val="000000"/>
        </w:rPr>
        <w:t>Balancing</w:t>
      </w:r>
      <w:proofErr w:type="spellEnd"/>
      <w:r>
        <w:rPr>
          <w:rFonts w:ascii="Arial" w:hAnsi="Arial"/>
          <w:color w:val="000000"/>
        </w:rPr>
        <w:t xml:space="preserve"> von Superkondensatoren“ hat Würth Elektronik auf ihrer Homepage eine neue Hilfestellung für Entwickler zur Verfügung gestellt. Die jüngste Veröffentlichung trägt der Erfahrung aus dem Support Rechnung, dass der Umgang mit Superkondensatoren (</w:t>
      </w:r>
      <w:proofErr w:type="spellStart"/>
      <w:r w:rsidR="00471D97">
        <w:rPr>
          <w:rFonts w:ascii="Arial" w:hAnsi="Arial"/>
          <w:color w:val="000000"/>
        </w:rPr>
        <w:t>S</w:t>
      </w:r>
      <w:r>
        <w:rPr>
          <w:rFonts w:ascii="Arial" w:hAnsi="Arial"/>
          <w:color w:val="000000"/>
        </w:rPr>
        <w:t>uper</w:t>
      </w:r>
      <w:r w:rsidR="00471D97">
        <w:rPr>
          <w:rFonts w:ascii="Arial" w:hAnsi="Arial"/>
          <w:color w:val="000000"/>
        </w:rPr>
        <w:t>c</w:t>
      </w:r>
      <w:r>
        <w:rPr>
          <w:rFonts w:ascii="Arial" w:hAnsi="Arial"/>
          <w:color w:val="000000"/>
        </w:rPr>
        <w:t>apacitor</w:t>
      </w:r>
      <w:proofErr w:type="spellEnd"/>
      <w:r>
        <w:rPr>
          <w:rFonts w:ascii="Arial" w:hAnsi="Arial"/>
          <w:color w:val="000000"/>
        </w:rPr>
        <w:t xml:space="preserve">) vielfach ungewohnt ist. Bereits in der Vergangenheit hatte Würth Elektronik </w:t>
      </w:r>
      <w:proofErr w:type="spellStart"/>
      <w:r>
        <w:rPr>
          <w:rFonts w:ascii="Arial" w:hAnsi="Arial"/>
          <w:color w:val="000000"/>
        </w:rPr>
        <w:t>Application</w:t>
      </w:r>
      <w:proofErr w:type="spellEnd"/>
      <w:r>
        <w:rPr>
          <w:rFonts w:ascii="Arial" w:hAnsi="Arial"/>
          <w:color w:val="000000"/>
        </w:rPr>
        <w:t xml:space="preserve"> Notes, erklärende Videos und Webinare zur Verfügung gestellt.</w:t>
      </w:r>
    </w:p>
    <w:p w14:paraId="5F483460" w14:textId="020B61A0" w:rsidR="007F5F5F" w:rsidRDefault="00EB30D7">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Obwohl </w:t>
      </w:r>
      <w:r w:rsidR="000C7EAF">
        <w:rPr>
          <w:rFonts w:ascii="Arial" w:hAnsi="Arial"/>
          <w:b w:val="0"/>
          <w:bCs w:val="0"/>
          <w:color w:val="000000"/>
        </w:rPr>
        <w:t xml:space="preserve">sich </w:t>
      </w:r>
      <w:r>
        <w:rPr>
          <w:rFonts w:ascii="Arial" w:hAnsi="Arial"/>
          <w:b w:val="0"/>
          <w:bCs w:val="0"/>
          <w:color w:val="000000"/>
        </w:rPr>
        <w:t xml:space="preserve">Superkondensatoren wie die Würth Elektronik Baureihe </w:t>
      </w:r>
      <w:hyperlink r:id="rId8" w:history="1">
        <w:r>
          <w:rPr>
            <w:rStyle w:val="Hyperlink"/>
            <w:rFonts w:ascii="Arial" w:hAnsi="Arial"/>
            <w:b w:val="0"/>
            <w:bCs w:val="0"/>
          </w:rPr>
          <w:t>WCAP-STSC</w:t>
        </w:r>
      </w:hyperlink>
      <w:r>
        <w:rPr>
          <w:rFonts w:ascii="Arial" w:hAnsi="Arial"/>
          <w:b w:val="0"/>
          <w:bCs w:val="0"/>
          <w:color w:val="000000"/>
        </w:rPr>
        <w:t xml:space="preserve"> von anderen Kondensatoren im Wesentlichen nur durch ihre höheren Energiedichte unterscheiden, eröffnen sie ganz andere Anwendungen.</w:t>
      </w:r>
      <w:r w:rsidR="00467B6E">
        <w:rPr>
          <w:rFonts w:ascii="Arial" w:hAnsi="Arial"/>
          <w:b w:val="0"/>
          <w:bCs w:val="0"/>
          <w:color w:val="000000"/>
        </w:rPr>
        <w:t xml:space="preserve"> Das Produktmanagement v</w:t>
      </w:r>
      <w:r>
        <w:rPr>
          <w:rFonts w:ascii="Arial" w:hAnsi="Arial"/>
          <w:b w:val="0"/>
          <w:bCs w:val="0"/>
          <w:color w:val="000000"/>
        </w:rPr>
        <w:t>on Würth Elektronik hat es sich zur Aufgabe gemacht, Entwicklern insbesondere bei der Anwendung von Kondensatoren als Energiespeicher mit Konzepten, Auswahlkriterien und Berechnungsgrundlagen zur Seite zu stehen.</w:t>
      </w:r>
    </w:p>
    <w:p w14:paraId="700E3445" w14:textId="6CA15C5D" w:rsidR="007F5F5F" w:rsidRDefault="00EB30D7">
      <w:pPr>
        <w:pStyle w:val="Textkrper"/>
        <w:spacing w:before="120" w:after="120" w:line="260" w:lineRule="exact"/>
        <w:jc w:val="both"/>
        <w:rPr>
          <w:rFonts w:ascii="Arial" w:hAnsi="Arial"/>
          <w:b w:val="0"/>
          <w:bCs w:val="0"/>
        </w:rPr>
      </w:pPr>
      <w:r>
        <w:rPr>
          <w:rFonts w:ascii="Arial" w:hAnsi="Arial"/>
          <w:b w:val="0"/>
          <w:bCs w:val="0"/>
        </w:rPr>
        <w:t xml:space="preserve">Ob zur Verhinderung von Datenverlust bei Stromausfall, für kritische Netzwerkgeräte oder in der Medizintechnik – Superkondensatoren sind langlebige Bauelemente für eine kurzfristige Energieversorgung. Die </w:t>
      </w:r>
      <w:proofErr w:type="spellStart"/>
      <w:r>
        <w:rPr>
          <w:rFonts w:ascii="Arial" w:hAnsi="Arial"/>
          <w:b w:val="0"/>
          <w:bCs w:val="0"/>
        </w:rPr>
        <w:t>Application</w:t>
      </w:r>
      <w:proofErr w:type="spellEnd"/>
      <w:r>
        <w:rPr>
          <w:rFonts w:ascii="Arial" w:hAnsi="Arial"/>
          <w:b w:val="0"/>
          <w:bCs w:val="0"/>
        </w:rPr>
        <w:t xml:space="preserve"> Note </w:t>
      </w:r>
      <w:hyperlink r:id="rId9" w:history="1">
        <w:r>
          <w:rPr>
            <w:rStyle w:val="Hyperlink"/>
            <w:rFonts w:ascii="Arial" w:hAnsi="Arial"/>
            <w:b w:val="0"/>
            <w:bCs w:val="0"/>
          </w:rPr>
          <w:t xml:space="preserve">ANP090: Immer im Gleichgewicht – </w:t>
        </w:r>
        <w:proofErr w:type="spellStart"/>
        <w:r>
          <w:rPr>
            <w:rStyle w:val="Hyperlink"/>
            <w:rFonts w:ascii="Arial" w:hAnsi="Arial"/>
            <w:b w:val="0"/>
            <w:bCs w:val="0"/>
          </w:rPr>
          <w:t>Balancing</w:t>
        </w:r>
        <w:proofErr w:type="spellEnd"/>
        <w:r>
          <w:rPr>
            <w:rStyle w:val="Hyperlink"/>
            <w:rFonts w:ascii="Arial" w:hAnsi="Arial"/>
            <w:b w:val="0"/>
            <w:bCs w:val="0"/>
          </w:rPr>
          <w:t xml:space="preserve"> von Superkondensatoren</w:t>
        </w:r>
      </w:hyperlink>
      <w:r>
        <w:rPr>
          <w:rFonts w:ascii="Arial" w:hAnsi="Arial"/>
          <w:b w:val="0"/>
          <w:bCs w:val="0"/>
        </w:rPr>
        <w:t xml:space="preserve"> widmet sich der Problematik, dass Superkondensatoren normalerweise bei Spannungen von etwa 2,7 V arbeiten. Um höhere Betriebsspannungen zu erreichen</w:t>
      </w:r>
      <w:r w:rsidR="00467B6E">
        <w:rPr>
          <w:rFonts w:ascii="Arial" w:hAnsi="Arial"/>
          <w:b w:val="0"/>
          <w:bCs w:val="0"/>
        </w:rPr>
        <w:t>,</w:t>
      </w:r>
      <w:r>
        <w:rPr>
          <w:rFonts w:ascii="Arial" w:hAnsi="Arial"/>
          <w:b w:val="0"/>
          <w:bCs w:val="0"/>
        </w:rPr>
        <w:t xml:space="preserve"> wird eine Kaskade von in Reihe geschalteten Superkondensatorzellen benötigt. Dabei machen herstellungs- oder alterungsbedingte Schwankungen der Kapazität und des Isolationswiderstandes einen Spannungsausgleich (</w:t>
      </w:r>
      <w:proofErr w:type="spellStart"/>
      <w:r>
        <w:rPr>
          <w:rFonts w:ascii="Arial" w:hAnsi="Arial"/>
          <w:b w:val="0"/>
          <w:bCs w:val="0"/>
        </w:rPr>
        <w:t>Balancing</w:t>
      </w:r>
      <w:proofErr w:type="spellEnd"/>
      <w:r>
        <w:rPr>
          <w:rFonts w:ascii="Arial" w:hAnsi="Arial"/>
          <w:b w:val="0"/>
          <w:bCs w:val="0"/>
        </w:rPr>
        <w:t xml:space="preserve">) erforderlich. Die </w:t>
      </w:r>
      <w:proofErr w:type="spellStart"/>
      <w:r>
        <w:rPr>
          <w:rFonts w:ascii="Arial" w:hAnsi="Arial"/>
          <w:b w:val="0"/>
          <w:bCs w:val="0"/>
        </w:rPr>
        <w:t>Application</w:t>
      </w:r>
      <w:proofErr w:type="spellEnd"/>
      <w:r>
        <w:rPr>
          <w:rFonts w:ascii="Arial" w:hAnsi="Arial"/>
          <w:b w:val="0"/>
          <w:bCs w:val="0"/>
        </w:rPr>
        <w:t xml:space="preserve"> Note von René Kalbitz, Produktmanager, und Frank Puhane, Leader Technical Engineering, bei Würth Elektronik </w:t>
      </w:r>
      <w:proofErr w:type="spellStart"/>
      <w:r>
        <w:rPr>
          <w:rFonts w:ascii="Arial" w:hAnsi="Arial"/>
          <w:b w:val="0"/>
          <w:bCs w:val="0"/>
        </w:rPr>
        <w:t>eiSos</w:t>
      </w:r>
      <w:proofErr w:type="spellEnd"/>
      <w:r>
        <w:rPr>
          <w:rFonts w:ascii="Arial" w:hAnsi="Arial"/>
          <w:b w:val="0"/>
          <w:bCs w:val="0"/>
        </w:rPr>
        <w:t xml:space="preserve"> für den Bereich Kondensatoren, geht auf die theoretischen Hintergründe, Messungen und praktischen Beispiele ein und bietet verschiedene </w:t>
      </w:r>
      <w:proofErr w:type="spellStart"/>
      <w:r>
        <w:rPr>
          <w:rFonts w:ascii="Arial" w:hAnsi="Arial"/>
          <w:b w:val="0"/>
          <w:bCs w:val="0"/>
        </w:rPr>
        <w:t>Balancing</w:t>
      </w:r>
      <w:proofErr w:type="spellEnd"/>
      <w:r>
        <w:rPr>
          <w:rFonts w:ascii="Arial" w:hAnsi="Arial"/>
          <w:b w:val="0"/>
          <w:bCs w:val="0"/>
        </w:rPr>
        <w:t>-Konzepte.</w:t>
      </w:r>
    </w:p>
    <w:p w14:paraId="6BF81C65" w14:textId="77777777" w:rsidR="007F5F5F" w:rsidRDefault="00EB30D7">
      <w:pPr>
        <w:pStyle w:val="Textkrper"/>
        <w:spacing w:before="120" w:after="120" w:line="260" w:lineRule="exact"/>
        <w:jc w:val="both"/>
        <w:rPr>
          <w:rFonts w:ascii="Arial" w:hAnsi="Arial"/>
          <w:b w:val="0"/>
          <w:bCs w:val="0"/>
        </w:rPr>
      </w:pPr>
      <w:r>
        <w:rPr>
          <w:rFonts w:ascii="Arial" w:hAnsi="Arial"/>
          <w:b w:val="0"/>
          <w:bCs w:val="0"/>
        </w:rPr>
        <w:t xml:space="preserve">Alle Texte und Videos zum Thema </w:t>
      </w:r>
      <w:proofErr w:type="spellStart"/>
      <w:r>
        <w:rPr>
          <w:rFonts w:ascii="Arial" w:hAnsi="Arial"/>
          <w:b w:val="0"/>
          <w:bCs w:val="0"/>
        </w:rPr>
        <w:t>Superkondesatoren</w:t>
      </w:r>
      <w:proofErr w:type="spellEnd"/>
      <w:r>
        <w:rPr>
          <w:rFonts w:ascii="Arial" w:hAnsi="Arial"/>
          <w:b w:val="0"/>
          <w:bCs w:val="0"/>
        </w:rPr>
        <w:t xml:space="preserve"> sind auf der Produktseite </w:t>
      </w:r>
      <w:hyperlink r:id="rId10" w:history="1">
        <w:r>
          <w:rPr>
            <w:rStyle w:val="Hyperlink"/>
            <w:rFonts w:ascii="Arial" w:hAnsi="Arial"/>
            <w:b w:val="0"/>
            <w:bCs w:val="0"/>
          </w:rPr>
          <w:t>https://www.we-online.com/katalog/de/WCAP-STSC</w:t>
        </w:r>
      </w:hyperlink>
      <w:r>
        <w:rPr>
          <w:rFonts w:ascii="Arial" w:hAnsi="Arial"/>
          <w:b w:val="0"/>
          <w:bCs w:val="0"/>
        </w:rPr>
        <w:t xml:space="preserve"> verlinkt. </w:t>
      </w:r>
    </w:p>
    <w:p w14:paraId="28664D19" w14:textId="77777777" w:rsidR="007F5F5F" w:rsidRDefault="00EB30D7">
      <w:pPr>
        <w:pStyle w:val="Textkrper"/>
        <w:spacing w:before="120" w:after="120" w:line="260" w:lineRule="exact"/>
        <w:jc w:val="both"/>
        <w:rPr>
          <w:rFonts w:ascii="Arial" w:hAnsi="Arial"/>
          <w:b w:val="0"/>
          <w:bCs w:val="0"/>
        </w:rPr>
      </w:pPr>
      <w:r>
        <w:rPr>
          <w:rFonts w:ascii="Arial" w:hAnsi="Arial"/>
          <w:b w:val="0"/>
          <w:bCs w:val="0"/>
        </w:rPr>
        <w:t xml:space="preserve">Würth Elektronik hat zudem mit </w:t>
      </w:r>
      <w:hyperlink r:id="rId11" w:history="1">
        <w:r>
          <w:rPr>
            <w:rStyle w:val="Hyperlink"/>
            <w:rFonts w:ascii="Arial" w:hAnsi="Arial"/>
            <w:b w:val="0"/>
            <w:bCs w:val="0"/>
          </w:rPr>
          <w:t>ABC der Kondensatoren</w:t>
        </w:r>
      </w:hyperlink>
      <w:r>
        <w:rPr>
          <w:rFonts w:ascii="Arial" w:hAnsi="Arial"/>
          <w:b w:val="0"/>
          <w:bCs w:val="0"/>
        </w:rPr>
        <w:t xml:space="preserve"> ein Fachbuch zur Einführung in die Kondensatortechnik im Angebot.</w:t>
      </w:r>
    </w:p>
    <w:p w14:paraId="77A87C0A" w14:textId="101B6E37" w:rsidR="007F5F5F" w:rsidRDefault="00EB30D7">
      <w:pPr>
        <w:pStyle w:val="Textkrper"/>
        <w:spacing w:before="120" w:after="120" w:line="260" w:lineRule="exact"/>
        <w:jc w:val="both"/>
        <w:rPr>
          <w:rFonts w:ascii="Arial" w:hAnsi="Arial"/>
          <w:b w:val="0"/>
          <w:bCs w:val="0"/>
        </w:rPr>
      </w:pPr>
      <w:r>
        <w:rPr>
          <w:rFonts w:ascii="Arial" w:hAnsi="Arial"/>
          <w:b w:val="0"/>
          <w:bCs w:val="0"/>
        </w:rPr>
        <w:br w:type="page"/>
      </w:r>
    </w:p>
    <w:p w14:paraId="075FFDA4" w14:textId="77777777" w:rsidR="005972E2" w:rsidRDefault="005972E2">
      <w:pPr>
        <w:pStyle w:val="Textkrper"/>
        <w:spacing w:before="120" w:after="120" w:line="260" w:lineRule="exact"/>
        <w:jc w:val="both"/>
        <w:rPr>
          <w:rFonts w:ascii="Arial" w:hAnsi="Arial"/>
          <w:b w:val="0"/>
          <w:bCs w:val="0"/>
        </w:rPr>
      </w:pPr>
    </w:p>
    <w:p w14:paraId="15AB822C" w14:textId="77777777" w:rsidR="007F5F5F" w:rsidRDefault="007F5F5F">
      <w:pPr>
        <w:pStyle w:val="PITextkrper"/>
        <w:pBdr>
          <w:top w:val="single" w:sz="4" w:space="1" w:color="auto"/>
        </w:pBdr>
        <w:spacing w:before="240"/>
        <w:rPr>
          <w:b/>
          <w:sz w:val="18"/>
          <w:szCs w:val="18"/>
          <w:lang w:val="de-DE"/>
        </w:rPr>
      </w:pPr>
    </w:p>
    <w:p w14:paraId="6FAD933F" w14:textId="77777777" w:rsidR="007F5F5F" w:rsidRDefault="00EB30D7">
      <w:pPr>
        <w:spacing w:after="120" w:line="280" w:lineRule="exact"/>
        <w:rPr>
          <w:rFonts w:ascii="Arial" w:hAnsi="Arial" w:cs="Arial"/>
          <w:b/>
          <w:bCs/>
          <w:sz w:val="18"/>
          <w:szCs w:val="18"/>
        </w:rPr>
      </w:pPr>
      <w:r>
        <w:rPr>
          <w:rFonts w:ascii="Arial" w:hAnsi="Arial" w:cs="Arial"/>
          <w:b/>
          <w:bCs/>
          <w:sz w:val="18"/>
          <w:szCs w:val="18"/>
        </w:rPr>
        <w:t>Verfügbares Bildmaterial</w:t>
      </w:r>
    </w:p>
    <w:p w14:paraId="70F6B9BE" w14:textId="77777777" w:rsidR="007F5F5F" w:rsidRDefault="00EB30D7">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2"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F5F5F" w14:paraId="59964C7A" w14:textId="77777777">
        <w:trPr>
          <w:trHeight w:val="1701"/>
        </w:trPr>
        <w:tc>
          <w:tcPr>
            <w:tcW w:w="3510" w:type="dxa"/>
          </w:tcPr>
          <w:p w14:paraId="4440908E" w14:textId="77777777" w:rsidR="007F5F5F" w:rsidRDefault="00EB30D7">
            <w:pPr>
              <w:pStyle w:val="txt"/>
              <w:rPr>
                <w:b/>
                <w:bCs/>
                <w:sz w:val="18"/>
              </w:rPr>
            </w:pPr>
            <w:r>
              <w:rPr>
                <w:b/>
              </w:rPr>
              <w:br/>
            </w:r>
            <w:r>
              <w:rPr>
                <w:noProof/>
              </w:rPr>
              <w:drawing>
                <wp:inline distT="0" distB="0" distL="0" distR="0" wp14:anchorId="18742358" wp14:editId="3A7C95A6">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3"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Pr>
                <w:bCs/>
                <w:sz w:val="16"/>
                <w:szCs w:val="16"/>
              </w:rPr>
              <w:t xml:space="preserve">Bildquelle: Würth Elektronik </w:t>
            </w:r>
          </w:p>
          <w:p w14:paraId="7BF66C07" w14:textId="5C347DDB" w:rsidR="007F5F5F" w:rsidRDefault="00EB30D7">
            <w:pPr>
              <w:autoSpaceDE w:val="0"/>
              <w:autoSpaceDN w:val="0"/>
              <w:adjustRightInd w:val="0"/>
              <w:rPr>
                <w:rFonts w:ascii="Arial" w:hAnsi="Arial" w:cs="Arial"/>
                <w:b/>
                <w:sz w:val="18"/>
                <w:szCs w:val="18"/>
              </w:rPr>
            </w:pPr>
            <w:r>
              <w:rPr>
                <w:rFonts w:ascii="Arial" w:hAnsi="Arial" w:cs="Arial"/>
                <w:b/>
                <w:sz w:val="18"/>
                <w:szCs w:val="18"/>
              </w:rPr>
              <w:t xml:space="preserve">Im Einsatz von Superkondensatoren wie den WCAP-STSC kommt es auf andere Dinge an als bei herkömmlichen Kondensatoren. Würth Elektronik unterstützt Entwickler mit </w:t>
            </w:r>
            <w:proofErr w:type="spellStart"/>
            <w:r>
              <w:rPr>
                <w:rFonts w:ascii="Arial" w:hAnsi="Arial" w:cs="Arial"/>
                <w:b/>
                <w:sz w:val="18"/>
                <w:szCs w:val="18"/>
              </w:rPr>
              <w:t>Application</w:t>
            </w:r>
            <w:proofErr w:type="spellEnd"/>
            <w:r>
              <w:rPr>
                <w:rFonts w:ascii="Arial" w:hAnsi="Arial" w:cs="Arial"/>
                <w:b/>
                <w:sz w:val="18"/>
                <w:szCs w:val="18"/>
              </w:rPr>
              <w:t xml:space="preserve"> Notes und Design-In Support. </w:t>
            </w:r>
          </w:p>
          <w:p w14:paraId="379B3D95" w14:textId="77777777" w:rsidR="007F5F5F" w:rsidRDefault="007F5F5F">
            <w:pPr>
              <w:autoSpaceDE w:val="0"/>
              <w:autoSpaceDN w:val="0"/>
              <w:adjustRightInd w:val="0"/>
              <w:rPr>
                <w:rFonts w:ascii="Arial" w:hAnsi="Arial" w:cs="Arial"/>
                <w:b/>
                <w:bCs/>
                <w:sz w:val="18"/>
                <w:szCs w:val="18"/>
              </w:rPr>
            </w:pPr>
          </w:p>
        </w:tc>
      </w:tr>
    </w:tbl>
    <w:p w14:paraId="7600CBDE" w14:textId="77777777" w:rsidR="007F5F5F" w:rsidRDefault="007F5F5F">
      <w:pPr>
        <w:pStyle w:val="PITextkrper"/>
        <w:rPr>
          <w:b/>
          <w:bCs/>
          <w:sz w:val="18"/>
          <w:szCs w:val="18"/>
          <w:lang w:val="de-DE"/>
        </w:rPr>
      </w:pPr>
    </w:p>
    <w:p w14:paraId="68B8185F" w14:textId="77777777" w:rsidR="005972E2" w:rsidRDefault="005972E2">
      <w:pPr>
        <w:pStyle w:val="Textkrper"/>
        <w:spacing w:before="120" w:after="120" w:line="260" w:lineRule="exact"/>
        <w:jc w:val="both"/>
        <w:rPr>
          <w:rFonts w:ascii="Arial" w:hAnsi="Arial"/>
          <w:b w:val="0"/>
          <w:bCs w:val="0"/>
        </w:rPr>
      </w:pPr>
    </w:p>
    <w:p w14:paraId="16155E9F" w14:textId="77777777" w:rsidR="007F5F5F" w:rsidRDefault="007F5F5F">
      <w:pPr>
        <w:pStyle w:val="PITextkrper"/>
        <w:pBdr>
          <w:top w:val="single" w:sz="4" w:space="1" w:color="auto"/>
        </w:pBdr>
        <w:spacing w:before="240"/>
        <w:rPr>
          <w:b/>
          <w:sz w:val="18"/>
          <w:szCs w:val="18"/>
          <w:lang w:val="de-DE"/>
        </w:rPr>
      </w:pPr>
    </w:p>
    <w:p w14:paraId="4CDBBA93" w14:textId="77777777" w:rsidR="007F5F5F" w:rsidRDefault="00EB30D7">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249177D0" w14:textId="77777777" w:rsidR="007F5F5F" w:rsidRDefault="00EB30D7">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BAE3B4E" w14:textId="77777777" w:rsidR="007F5F5F" w:rsidRDefault="00EB30D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62609E2" w14:textId="686C1C45" w:rsidR="007F5F5F" w:rsidRDefault="00EB30D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68566A6" w14:textId="16BFB125" w:rsidR="006E2D94" w:rsidRDefault="006E2D94">
      <w:pPr>
        <w:pStyle w:val="Textkrper"/>
        <w:spacing w:before="120" w:after="120" w:line="276" w:lineRule="auto"/>
        <w:jc w:val="both"/>
        <w:rPr>
          <w:rFonts w:ascii="Arial" w:hAnsi="Arial"/>
          <w:b w:val="0"/>
        </w:rPr>
      </w:pPr>
    </w:p>
    <w:p w14:paraId="52FB8CD1" w14:textId="77777777" w:rsidR="006E2D94" w:rsidRDefault="006E2D94">
      <w:pPr>
        <w:pStyle w:val="Textkrper"/>
        <w:spacing w:before="120" w:after="120" w:line="276" w:lineRule="auto"/>
        <w:jc w:val="both"/>
        <w:rPr>
          <w:rFonts w:ascii="Arial" w:hAnsi="Arial"/>
          <w:b w:val="0"/>
        </w:rPr>
      </w:pPr>
    </w:p>
    <w:p w14:paraId="5C560854" w14:textId="00F2CC59" w:rsidR="007F5F5F" w:rsidRDefault="00EB30D7">
      <w:pPr>
        <w:pStyle w:val="Textkrper"/>
        <w:spacing w:before="120" w:after="120" w:line="276" w:lineRule="auto"/>
        <w:jc w:val="both"/>
        <w:rPr>
          <w:rFonts w:ascii="Arial" w:hAnsi="Arial"/>
          <w:b w:val="0"/>
        </w:rPr>
      </w:pPr>
      <w:r w:rsidRPr="006E2D94">
        <w:rPr>
          <w:rFonts w:ascii="Arial" w:hAnsi="Arial"/>
          <w:b w:val="0"/>
        </w:rPr>
        <w:lastRenderedPageBreak/>
        <w:t xml:space="preserve">Würth Elektronik ist Teil der Würth-Gruppe, dem Weltmarktführer für Montage- und Befestigungstechnik. Das Unternehmen beschäftigt </w:t>
      </w:r>
      <w:r w:rsidR="00CB01AB" w:rsidRPr="006E2D94">
        <w:rPr>
          <w:rFonts w:ascii="Arial" w:hAnsi="Arial"/>
          <w:b w:val="0"/>
        </w:rPr>
        <w:t>8</w:t>
      </w:r>
      <w:r w:rsidRPr="006E2D94">
        <w:rPr>
          <w:rFonts w:ascii="Arial" w:hAnsi="Arial"/>
          <w:b w:val="0"/>
        </w:rPr>
        <w:t> </w:t>
      </w:r>
      <w:r w:rsidR="00CB01AB" w:rsidRPr="006E2D94">
        <w:rPr>
          <w:rFonts w:ascii="Arial" w:hAnsi="Arial"/>
          <w:b w:val="0"/>
        </w:rPr>
        <w:t>0</w:t>
      </w:r>
      <w:r w:rsidRPr="006E2D94">
        <w:rPr>
          <w:rFonts w:ascii="Arial" w:hAnsi="Arial"/>
          <w:b w:val="0"/>
        </w:rPr>
        <w:t>00 Mitarbeitende und hat im Jahr 202</w:t>
      </w:r>
      <w:r w:rsidR="00CB01AB" w:rsidRPr="006E2D94">
        <w:rPr>
          <w:rFonts w:ascii="Arial" w:hAnsi="Arial"/>
          <w:b w:val="0"/>
        </w:rPr>
        <w:t>1</w:t>
      </w:r>
      <w:r w:rsidRPr="006E2D94">
        <w:rPr>
          <w:rFonts w:ascii="Arial" w:hAnsi="Arial"/>
          <w:b w:val="0"/>
        </w:rPr>
        <w:t xml:space="preserve"> einen Umsatz von </w:t>
      </w:r>
      <w:r w:rsidR="00CB01AB" w:rsidRPr="006E2D94">
        <w:rPr>
          <w:rFonts w:ascii="Arial" w:hAnsi="Arial"/>
          <w:b w:val="0"/>
        </w:rPr>
        <w:t xml:space="preserve">1,09 Milliarden Euro </w:t>
      </w:r>
      <w:r w:rsidRPr="006E2D94">
        <w:rPr>
          <w:rFonts w:ascii="Arial" w:hAnsi="Arial"/>
          <w:b w:val="0"/>
        </w:rPr>
        <w:t>erwirtschaftet.</w:t>
      </w:r>
    </w:p>
    <w:p w14:paraId="6B8A6790" w14:textId="77777777" w:rsidR="007F5F5F" w:rsidRDefault="00EB30D7">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7B3F27A" w14:textId="77777777" w:rsidR="007F5F5F" w:rsidRDefault="00EB30D7">
      <w:pPr>
        <w:pStyle w:val="Textkrper"/>
        <w:spacing w:before="120" w:after="120" w:line="276" w:lineRule="auto"/>
        <w:rPr>
          <w:rFonts w:ascii="Arial" w:hAnsi="Arial"/>
        </w:rPr>
      </w:pPr>
      <w:r>
        <w:rPr>
          <w:rFonts w:ascii="Arial" w:hAnsi="Arial"/>
        </w:rPr>
        <w:t>Weitere Informationen unter www.we-online.com</w:t>
      </w:r>
    </w:p>
    <w:p w14:paraId="0D6A1335" w14:textId="77777777" w:rsidR="007F5F5F" w:rsidRDefault="007F5F5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F5F5F" w14:paraId="109D1B47" w14:textId="77777777">
        <w:tc>
          <w:tcPr>
            <w:tcW w:w="3902" w:type="dxa"/>
            <w:hideMark/>
          </w:tcPr>
          <w:p w14:paraId="396F8669" w14:textId="77777777" w:rsidR="007F5F5F" w:rsidRDefault="00EB30D7">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6843FCB" w14:textId="77777777" w:rsidR="007F5F5F" w:rsidRDefault="00EB30D7">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1A8FF377" w14:textId="77777777" w:rsidR="007F5F5F" w:rsidRDefault="00EB30D7">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1F7BCFDC" w14:textId="77777777" w:rsidR="007F5F5F" w:rsidRDefault="00EB30D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6BE1E42A" w14:textId="77777777" w:rsidR="007F5F5F" w:rsidRDefault="00EB30D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3FB16C4" w14:textId="77777777" w:rsidR="007F5F5F" w:rsidRDefault="00EB30D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62A5529D" w14:textId="77777777" w:rsidR="007F5F5F" w:rsidRDefault="00EB30D7">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7B5F4313" w14:textId="77777777" w:rsidR="007F5F5F" w:rsidRDefault="00EB30D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62C3181" w14:textId="77777777" w:rsidR="007F5F5F" w:rsidRDefault="007F5F5F">
      <w:pPr>
        <w:pStyle w:val="Textkrper"/>
        <w:spacing w:before="120" w:after="120" w:line="260" w:lineRule="exact"/>
      </w:pPr>
    </w:p>
    <w:sectPr w:rsidR="007F5F5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9B81" w14:textId="77777777" w:rsidR="00DB53FA" w:rsidRDefault="00DB53FA">
      <w:r>
        <w:separator/>
      </w:r>
    </w:p>
  </w:endnote>
  <w:endnote w:type="continuationSeparator" w:id="0">
    <w:p w14:paraId="5BDDDF1C" w14:textId="77777777" w:rsidR="00DB53FA" w:rsidRDefault="00D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7F6" w14:textId="65102439" w:rsidR="007F5F5F" w:rsidRDefault="00EB30D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51910">
      <w:rPr>
        <w:rFonts w:ascii="Arial" w:hAnsi="Arial" w:cs="Arial"/>
        <w:noProof/>
        <w:snapToGrid w:val="0"/>
        <w:sz w:val="16"/>
        <w:szCs w:val="16"/>
      </w:rPr>
      <w:t>WTH1PI1044.docx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8608" w14:textId="77777777" w:rsidR="00DB53FA" w:rsidRDefault="00DB53FA">
      <w:r>
        <w:separator/>
      </w:r>
    </w:p>
  </w:footnote>
  <w:footnote w:type="continuationSeparator" w:id="0">
    <w:p w14:paraId="15B68182" w14:textId="77777777" w:rsidR="00DB53FA" w:rsidRDefault="00DB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F510" w14:textId="77777777" w:rsidR="007F5F5F" w:rsidRDefault="00EB30D7">
    <w:pPr>
      <w:pStyle w:val="Kopfzeile"/>
      <w:tabs>
        <w:tab w:val="clear" w:pos="9072"/>
        <w:tab w:val="right" w:pos="9498"/>
      </w:tabs>
    </w:pPr>
    <w:r>
      <w:rPr>
        <w:noProof/>
      </w:rPr>
      <w:drawing>
        <wp:anchor distT="0" distB="0" distL="114300" distR="114300" simplePos="0" relativeHeight="251657728" behindDoc="1" locked="0" layoutInCell="0" allowOverlap="1" wp14:anchorId="6412B592" wp14:editId="3CCC8CA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5F"/>
    <w:rsid w:val="00030985"/>
    <w:rsid w:val="000C7EAF"/>
    <w:rsid w:val="001368B5"/>
    <w:rsid w:val="00234853"/>
    <w:rsid w:val="00351910"/>
    <w:rsid w:val="0040672B"/>
    <w:rsid w:val="00467B6E"/>
    <w:rsid w:val="00471D97"/>
    <w:rsid w:val="005972E2"/>
    <w:rsid w:val="005B7F03"/>
    <w:rsid w:val="006E2D94"/>
    <w:rsid w:val="00742458"/>
    <w:rsid w:val="007F5F5F"/>
    <w:rsid w:val="00934DCB"/>
    <w:rsid w:val="00A1691B"/>
    <w:rsid w:val="00B120A4"/>
    <w:rsid w:val="00B85D10"/>
    <w:rsid w:val="00CB01AB"/>
    <w:rsid w:val="00D30AF0"/>
    <w:rsid w:val="00DB53FA"/>
    <w:rsid w:val="00EB3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6B0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A16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CAP-STSC"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katalog/de/ABC_OF_CAPACITORS_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katalog/de/WCAP-STSC" TargetMode="External"/><Relationship Id="rId4" Type="http://schemas.openxmlformats.org/officeDocument/2006/relationships/settings" Target="settings.xml"/><Relationship Id="rId9" Type="http://schemas.openxmlformats.org/officeDocument/2006/relationships/hyperlink" Target="https://www.we-online.com/katalog/media/o671683v410%20ANP090a_D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6533-B37E-4ED6-9FB0-2ABD2FF1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4246</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2022-02-03T09:13:00Z</dcterms:created>
  <dcterms:modified xsi:type="dcterms:W3CDTF">2022-02-03T09:14:00Z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