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bookmarkStart w:id="0" w:name="_GoBack"/>
      <w:r>
        <w:rPr>
          <w:rFonts w:ascii="Arial" w:hAnsi="Arial" w:cs="Arial"/>
          <w:b/>
          <w:bCs/>
        </w:rPr>
        <w:t xml:space="preserve">IQRB-2 Rubidium-Oszillator-Handbuch </w:t>
      </w:r>
      <w:bookmarkEnd w:id="0"/>
      <w:r>
        <w:rPr>
          <w:rFonts w:ascii="Arial" w:hAnsi="Arial" w:cs="Arial"/>
          <w:b/>
          <w:bCs/>
        </w:rPr>
        <w:t xml:space="preserve">jetzt mit Zusammenfassung der wichtigsten Testdaten </w:t>
      </w:r>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Update zu IQDs Hochleistungs-Rubidium-Oszillator IQRB-2</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1. September 2021 – IQD, ein Unternehmen der Würth Elektronik </w:t>
      </w:r>
      <w:proofErr w:type="spellStart"/>
      <w:r>
        <w:rPr>
          <w:rFonts w:ascii="Arial" w:hAnsi="Arial"/>
          <w:color w:val="000000"/>
        </w:rPr>
        <w:t>eiSos</w:t>
      </w:r>
      <w:proofErr w:type="spellEnd"/>
      <w:r>
        <w:rPr>
          <w:rFonts w:ascii="Arial" w:hAnsi="Arial"/>
          <w:color w:val="000000"/>
        </w:rPr>
        <w:t xml:space="preserve"> Gruppe, hat mit dem Handbuch zum IQRB-2 Rubidium</w:t>
      </w:r>
      <w:r>
        <w:rPr>
          <w:rFonts w:ascii="Arial" w:hAnsi="Arial"/>
          <w:color w:val="000000"/>
        </w:rPr>
        <w:noBreakHyphen/>
        <w:t xml:space="preserve">Oszillator sein erweitertes Rubidium-Portfolio komplettiert. In dem umfassenden Handbuch sind auch die durchgeführten Tests zusammengefasst: von der Temperaturstabilität über die Kurzzeitstabilität bis hin zum Supply </w:t>
      </w:r>
      <w:proofErr w:type="spellStart"/>
      <w:r>
        <w:rPr>
          <w:rFonts w:ascii="Arial" w:hAnsi="Arial"/>
          <w:color w:val="000000"/>
        </w:rPr>
        <w:t>Pushing</w:t>
      </w:r>
      <w:proofErr w:type="spellEnd"/>
      <w:r>
        <w:rPr>
          <w:rFonts w:ascii="Arial" w:hAnsi="Arial"/>
          <w:color w:val="000000"/>
        </w:rPr>
        <w:t xml:space="preserve"> und mehr.</w:t>
      </w:r>
    </w:p>
    <w:p>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IQRB-2 schließt die Lücke zwischen dem IQRB-1 und dem IQRB-3. Dabei besticht der IQRB-1 durch ein hervorragendes Preis-Leistungs-Verhältnis, während der IQRB-3 eine außergewöhnliche Phasenrauschleistung gepaart mit einer 1-PPS-Synchronisation gewährleistet. Der IQRB-2 bietet ein hervorragendes Phasenrauschen, </w:t>
      </w:r>
      <w:proofErr w:type="gramStart"/>
      <w:r>
        <w:rPr>
          <w:rFonts w:ascii="Arial" w:hAnsi="Arial"/>
          <w:b w:val="0"/>
          <w:bCs w:val="0"/>
          <w:color w:val="000000"/>
        </w:rPr>
        <w:t>das</w:t>
      </w:r>
      <w:proofErr w:type="gramEnd"/>
      <w:r>
        <w:rPr>
          <w:rFonts w:ascii="Arial" w:hAnsi="Arial"/>
          <w:b w:val="0"/>
          <w:bCs w:val="0"/>
          <w:color w:val="000000"/>
        </w:rPr>
        <w:t xml:space="preserve"> nahe an die Leistung des IQRB-3 heranreicht: ein trägernahes Phasenrauschen von -108 </w:t>
      </w:r>
      <w:proofErr w:type="spellStart"/>
      <w:r>
        <w:rPr>
          <w:rFonts w:ascii="Arial" w:hAnsi="Arial"/>
          <w:b w:val="0"/>
          <w:bCs w:val="0"/>
          <w:color w:val="000000"/>
        </w:rPr>
        <w:t>dBc</w:t>
      </w:r>
      <w:proofErr w:type="spellEnd"/>
      <w:r>
        <w:rPr>
          <w:rFonts w:ascii="Arial" w:hAnsi="Arial"/>
          <w:b w:val="0"/>
          <w:bCs w:val="0"/>
          <w:color w:val="000000"/>
        </w:rPr>
        <w:t xml:space="preserve">/Hz bei 1 Hz und einen Noise Floor von -158 </w:t>
      </w:r>
      <w:proofErr w:type="spellStart"/>
      <w:r>
        <w:rPr>
          <w:rFonts w:ascii="Arial" w:hAnsi="Arial"/>
          <w:b w:val="0"/>
          <w:bCs w:val="0"/>
          <w:color w:val="000000"/>
        </w:rPr>
        <w:t>dBc</w:t>
      </w:r>
      <w:proofErr w:type="spellEnd"/>
      <w:r>
        <w:rPr>
          <w:rFonts w:ascii="Arial" w:hAnsi="Arial"/>
          <w:b w:val="0"/>
          <w:bCs w:val="0"/>
          <w:color w:val="000000"/>
        </w:rPr>
        <w:t>/Hz bei 10 kHz und darunter. Dadurch, dass er keine 1-PPS-Synchronisation bietet, ist er zu einem günstigeren Preis als der IQRB-3 erhältlich. Mit einer Kurzzeitstabilität von 0,0075 ppb @ Tau = 100 s und einer Alterung von maximal 0,05 ppb pro Monat stellt der IQRB-2 immer noch eine perfekte Ergänzung für verschiedene Zeit- und Frequenzsynchronisationsanwendungen dar.</w:t>
      </w:r>
    </w:p>
    <w:p>
      <w:pPr>
        <w:pStyle w:val="Textkrper"/>
        <w:spacing w:before="120" w:after="120" w:line="260" w:lineRule="exact"/>
        <w:jc w:val="both"/>
        <w:rPr>
          <w:rFonts w:ascii="Arial" w:hAnsi="Arial"/>
          <w:b w:val="0"/>
          <w:bCs w:val="0"/>
          <w:color w:val="000000"/>
        </w:rPr>
      </w:pPr>
      <w:r>
        <w:rPr>
          <w:rFonts w:ascii="Arial" w:hAnsi="Arial"/>
          <w:b w:val="0"/>
          <w:bCs w:val="0"/>
          <w:color w:val="000000"/>
        </w:rPr>
        <w:t>Eine praktische Übersicht über alle Rubidium-Produkte von IQD bietet ein neuer Rubidium-Flyer, der im Bereich „Ressourcen“ der IQD-Website bereitsteht.</w:t>
      </w:r>
    </w:p>
    <w:p>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Weitere Informationen zum IQRB-2 oder IQDs Rubidium-Portfolio im Allgemeinen sind unter </w:t>
      </w:r>
      <w:hyperlink r:id="rId7" w:history="1">
        <w:r>
          <w:rPr>
            <w:rStyle w:val="Hyperlink"/>
            <w:rFonts w:ascii="Arial" w:hAnsi="Arial"/>
            <w:b w:val="0"/>
            <w:bCs w:val="0"/>
          </w:rPr>
          <w:t>www.iqdfrequencyproducts.de</w:t>
        </w:r>
      </w:hyperlink>
      <w:r>
        <w:rPr>
          <w:rFonts w:ascii="Arial" w:hAnsi="Arial"/>
          <w:b w:val="0"/>
          <w:bCs w:val="0"/>
          <w:color w:val="000000"/>
        </w:rPr>
        <w:t xml:space="preserve"> zu finden. Das IQRB-2-Handbuch kann über die IQD-Vertriebsbüros angefordert werden. </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r>
        <w:rPr>
          <w:rFonts w:ascii="Arial" w:hAnsi="Arial"/>
          <w:b w:val="0"/>
          <w:bCs w:val="0"/>
        </w:rPr>
        <w:br w:type="page"/>
      </w: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pPr>
            <w:r>
              <w:br/>
            </w:r>
            <w:r>
              <w:rPr>
                <w:noProof/>
              </w:rPr>
              <w:drawing>
                <wp:inline distT="0" distB="0" distL="0" distR="0">
                  <wp:extent cx="2457450" cy="1552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552575"/>
                          </a:xfrm>
                          <a:prstGeom prst="rect">
                            <a:avLst/>
                          </a:prstGeom>
                          <a:noFill/>
                          <a:ln>
                            <a:noFill/>
                          </a:ln>
                        </pic:spPr>
                      </pic:pic>
                    </a:graphicData>
                  </a:graphic>
                </wp:inline>
              </w:drawing>
            </w:r>
            <w:r>
              <w:rPr>
                <w:bCs/>
                <w:sz w:val="16"/>
                <w:szCs w:val="16"/>
              </w:rPr>
              <w:t>Bildquelle: IQD</w:t>
            </w:r>
            <w:r>
              <w:rPr>
                <w:bCs/>
                <w:sz w:val="16"/>
                <w:szCs w:val="16"/>
              </w:rPr>
              <w:br/>
            </w:r>
            <w:r>
              <w:rPr>
                <w:bCs/>
                <w:sz w:val="16"/>
                <w:szCs w:val="16"/>
              </w:rPr>
              <w:br/>
            </w:r>
            <w:r>
              <w:rPr>
                <w:b/>
                <w:color w:val="auto"/>
                <w:sz w:val="18"/>
                <w:szCs w:val="18"/>
              </w:rPr>
              <w:t>Mit dem umfassenden Handbuch zu IQRB-2 ist das Rubidium-Oszillator-Portfolio von IQD komplett.</w:t>
            </w:r>
            <w:r>
              <w:rPr>
                <w:b/>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rPr>
      </w:pPr>
      <w:r>
        <w:rPr>
          <w:rFonts w:ascii="Arial" w:hAnsi="Arial"/>
        </w:rPr>
        <w:t>Über IQD</w:t>
      </w:r>
    </w:p>
    <w:p>
      <w:pPr>
        <w:pStyle w:val="Textkrper"/>
        <w:spacing w:before="120" w:line="276" w:lineRule="auto"/>
        <w:jc w:val="both"/>
        <w:rPr>
          <w:rFonts w:ascii="Arial" w:hAnsi="Arial"/>
          <w:b w:val="0"/>
        </w:rPr>
      </w:pPr>
      <w:r>
        <w:rPr>
          <w:rFonts w:ascii="Arial" w:hAnsi="Arial"/>
          <w:b w:val="0"/>
        </w:rPr>
        <w:t xml:space="preserve">Gestützt auf eine über 40-jährige Erfahrung in der Fertigung von Frequenzprodukten, ist IQD ein anerkannter Marktführer im Bereich Frequenzsteuerung und ein Teil der Würth Elektronik </w:t>
      </w:r>
      <w:proofErr w:type="spellStart"/>
      <w:r>
        <w:rPr>
          <w:rFonts w:ascii="Arial" w:hAnsi="Arial"/>
          <w:b w:val="0"/>
        </w:rPr>
        <w:t>eiSos</w:t>
      </w:r>
      <w:proofErr w:type="spellEnd"/>
      <w:r>
        <w:rPr>
          <w:rFonts w:ascii="Arial" w:hAnsi="Arial"/>
          <w:b w:val="0"/>
        </w:rPr>
        <w:t xml:space="preserve">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OCVCSOs &amp; OCXOs, mit GPS synchronisierte OCXOs sowie Rubidium-Oszillatoren. </w:t>
      </w:r>
    </w:p>
    <w:p>
      <w:pPr>
        <w:pStyle w:val="Textkrper"/>
        <w:spacing w:before="120" w:line="276" w:lineRule="auto"/>
        <w:jc w:val="both"/>
        <w:rPr>
          <w:rFonts w:ascii="Arial" w:hAnsi="Arial"/>
        </w:rPr>
      </w:pPr>
      <w:r>
        <w:rPr>
          <w:rFonts w:ascii="Arial" w:hAnsi="Arial"/>
        </w:rPr>
        <w:t>Weitere Informationen unter www.iqdfrequencyproducts.de</w:t>
      </w: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rPr>
      </w:pPr>
      <w:r>
        <w:rPr>
          <w:rFonts w:ascii="Arial" w:hAnsi="Arial"/>
        </w:rPr>
        <w:t xml:space="preserve">Über die Würth Elektronik </w:t>
      </w:r>
      <w:proofErr w:type="spellStart"/>
      <w:r>
        <w:rPr>
          <w:rFonts w:ascii="Arial" w:hAnsi="Arial"/>
        </w:rPr>
        <w:t>eiSos</w:t>
      </w:r>
      <w:proofErr w:type="spellEnd"/>
      <w:r>
        <w:rPr>
          <w:rFonts w:ascii="Arial" w:hAnsi="Arial"/>
        </w:rPr>
        <w:t xml:space="preserve"> Gruppe </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bookmarkStart w:id="1" w:name="_Hlk529547556"/>
      <w:r>
        <w:rPr>
          <w:rFonts w:ascii="Arial" w:hAnsi="Arial"/>
          <w:b w:val="0"/>
        </w:rPr>
        <w:t xml:space="preserve">Das Produktprogramm umfasst EMV-Komponenten, Induktivitäten, </w:t>
      </w:r>
      <w:proofErr w:type="spellStart"/>
      <w:r>
        <w:rPr>
          <w:rFonts w:ascii="Arial" w:hAnsi="Arial"/>
          <w:b w:val="0"/>
        </w:rPr>
        <w:t>Übertrager</w:t>
      </w:r>
      <w:proofErr w:type="spellEnd"/>
      <w:r>
        <w:rPr>
          <w:rFonts w:ascii="Arial" w:hAnsi="Arial"/>
          <w:b w:val="0"/>
        </w:rPr>
        <w:t xml:space="preserve">, HF-Bauteile, Varistoren, Kondensatoren, Widerstände, Quarze, Oszillatoren, </w:t>
      </w:r>
      <w:r>
        <w:rPr>
          <w:rFonts w:ascii="Arial" w:hAnsi="Arial"/>
          <w:b w:val="0"/>
        </w:rPr>
        <w:lastRenderedPageBreak/>
        <w:t>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bookmarkEnd w:id="1"/>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sz w:val="20"/>
              </w:rPr>
              <w:t xml:space="preserve">IQD </w:t>
            </w:r>
            <w:proofErr w:type="spellStart"/>
            <w:r>
              <w:rPr>
                <w:rFonts w:ascii="Arial" w:hAnsi="Arial"/>
                <w:sz w:val="20"/>
              </w:rPr>
              <w:t>Frequency</w:t>
            </w:r>
            <w:proofErr w:type="spellEnd"/>
            <w:r>
              <w:rPr>
                <w:rFonts w:ascii="Arial" w:hAnsi="Arial"/>
                <w:sz w:val="20"/>
              </w:rPr>
              <w:t xml:space="preserve"> Products Ltd</w:t>
            </w:r>
            <w:r>
              <w:rPr>
                <w:rFonts w:ascii="Arial" w:hAnsi="Arial"/>
                <w:sz w:val="20"/>
              </w:rPr>
              <w:br/>
              <w:t>Rebecca Long</w:t>
            </w:r>
            <w:r>
              <w:rPr>
                <w:rFonts w:ascii="Arial" w:hAnsi="Arial"/>
                <w:sz w:val="20"/>
              </w:rPr>
              <w:br/>
            </w:r>
            <w:r>
              <w:rPr>
                <w:rFonts w:ascii="Arial" w:hAnsi="Arial" w:cs="Arial"/>
                <w:sz w:val="20"/>
                <w:szCs w:val="20"/>
              </w:rPr>
              <w:t>Station Road</w:t>
            </w:r>
            <w:r>
              <w:rPr>
                <w:rFonts w:ascii="Arial" w:hAnsi="Arial" w:cs="Arial"/>
                <w:sz w:val="20"/>
                <w:szCs w:val="20"/>
              </w:rPr>
              <w:br/>
              <w:t>Crewkerne</w:t>
            </w:r>
            <w:r>
              <w:rPr>
                <w:rFonts w:ascii="Arial" w:hAnsi="Arial" w:cs="Arial"/>
                <w:sz w:val="20"/>
                <w:szCs w:val="20"/>
              </w:rPr>
              <w:br/>
              <w:t>Somerset</w:t>
            </w:r>
            <w:r>
              <w:rPr>
                <w:rFonts w:ascii="Arial" w:hAnsi="Arial" w:cs="Arial"/>
                <w:sz w:val="20"/>
                <w:szCs w:val="20"/>
              </w:rPr>
              <w:br/>
              <w:t>TA18 8AR</w:t>
            </w:r>
            <w:r>
              <w:rPr>
                <w:rFonts w:ascii="Arial" w:hAnsi="Arial" w:cs="Arial"/>
                <w:sz w:val="20"/>
                <w:szCs w:val="20"/>
              </w:rPr>
              <w:br/>
              <w:t>Vereinigtes Königreich</w:t>
            </w:r>
          </w:p>
          <w:p>
            <w:pPr>
              <w:spacing w:before="120" w:after="120" w:line="276" w:lineRule="auto"/>
              <w:rPr>
                <w:rFonts w:ascii="Arial" w:hAnsi="Arial" w:cs="Arial"/>
                <w:bCs/>
                <w:sz w:val="20"/>
                <w:lang w:val="it-IT"/>
              </w:rPr>
            </w:pPr>
            <w:proofErr w:type="spellStart"/>
            <w:r>
              <w:rPr>
                <w:rFonts w:ascii="Arial" w:hAnsi="Arial"/>
                <w:sz w:val="20"/>
                <w:lang w:val="it-IT"/>
              </w:rPr>
              <w:t>Telefon</w:t>
            </w:r>
            <w:proofErr w:type="spellEnd"/>
            <w:r>
              <w:rPr>
                <w:rFonts w:ascii="Arial" w:hAnsi="Arial"/>
                <w:sz w:val="20"/>
                <w:lang w:val="it-IT"/>
              </w:rPr>
              <w:t>: +44 1460 270270</w:t>
            </w:r>
            <w:r>
              <w:rPr>
                <w:rFonts w:ascii="Arial" w:hAnsi="Arial"/>
                <w:sz w:val="20"/>
                <w:lang w:val="it-IT"/>
              </w:rPr>
              <w:br/>
              <w:t xml:space="preserve">E-Mail: </w:t>
            </w:r>
            <w:hyperlink r:id="rId10" w:history="1">
              <w:r>
                <w:rPr>
                  <w:rFonts w:ascii="Arial" w:hAnsi="Arial" w:cs="Arial"/>
                  <w:bCs/>
                  <w:sz w:val="20"/>
                  <w:szCs w:val="20"/>
                  <w:lang w:val="it-IT"/>
                </w:rPr>
                <w:t>rebecca.long@iqdfrequencyproducts.com</w:t>
              </w:r>
            </w:hyperlink>
          </w:p>
          <w:p>
            <w:pPr>
              <w:tabs>
                <w:tab w:val="left" w:pos="1065"/>
              </w:tabs>
              <w:spacing w:before="120" w:after="120" w:line="276" w:lineRule="auto"/>
              <w:rPr>
                <w:rFonts w:ascii="Arial" w:hAnsi="Arial" w:cs="Arial"/>
                <w:bCs/>
                <w:sz w:val="20"/>
                <w:szCs w:val="20"/>
                <w:lang w:val="it-IT"/>
              </w:rPr>
            </w:pPr>
            <w:r>
              <w:rPr>
                <w:rFonts w:ascii="Arial" w:hAnsi="Arial"/>
                <w:bCs/>
                <w:sz w:val="20"/>
                <w:lang w:val="it-IT"/>
              </w:rPr>
              <w:t>www.we-online.com</w:t>
            </w:r>
            <w:r>
              <w:rPr>
                <w:rFonts w:ascii="Arial" w:hAnsi="Arial" w:cs="Arial"/>
                <w:bCs/>
                <w:sz w:val="20"/>
                <w:szCs w:val="20"/>
                <w:lang w:val="it-IT"/>
              </w:rPr>
              <w:br/>
            </w:r>
            <w:hyperlink r:id="rId11" w:history="1">
              <w:r>
                <w:rPr>
                  <w:rFonts w:ascii="Arial" w:hAnsi="Arial" w:cs="Arial"/>
                  <w:sz w:val="20"/>
                  <w:szCs w:val="20"/>
                  <w:lang w:val="it-IT"/>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it-IT"/>
              </w:rPr>
            </w:pPr>
            <w:proofErr w:type="spellStart"/>
            <w:r>
              <w:rPr>
                <w:rFonts w:ascii="Arial" w:hAnsi="Arial"/>
                <w:bCs w:val="0"/>
                <w:szCs w:val="24"/>
                <w:lang w:val="it-IT"/>
              </w:rPr>
              <w:t>Pressekontakt</w:t>
            </w:r>
            <w:proofErr w:type="spellEnd"/>
            <w:r>
              <w:rPr>
                <w:rFonts w:ascii="Arial" w:hAnsi="Arial"/>
                <w:bCs w:val="0"/>
                <w:szCs w:val="24"/>
                <w:lang w:val="it-IT"/>
              </w:rPr>
              <w:t>:</w:t>
            </w:r>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HighTech</w:t>
            </w:r>
            <w:proofErr w:type="spellEnd"/>
            <w:r>
              <w:rPr>
                <w:rFonts w:ascii="Arial" w:hAnsi="Arial" w:cs="Arial"/>
                <w:bCs/>
                <w:sz w:val="20"/>
                <w:lang w:val="it-IT"/>
              </w:rPr>
              <w:t xml:space="preserve"> </w:t>
            </w:r>
            <w:proofErr w:type="spellStart"/>
            <w:r>
              <w:rPr>
                <w:rFonts w:ascii="Arial" w:hAnsi="Arial" w:cs="Arial"/>
                <w:bCs/>
                <w:sz w:val="20"/>
                <w:lang w:val="it-IT"/>
              </w:rPr>
              <w:t>communications</w:t>
            </w:r>
            <w:proofErr w:type="spellEnd"/>
            <w:r>
              <w:rPr>
                <w:rFonts w:ascii="Arial" w:hAnsi="Arial" w:cs="Arial"/>
                <w:bCs/>
                <w:sz w:val="20"/>
                <w:lang w:val="it-IT"/>
              </w:rPr>
              <w:t xml:space="preserve"> </w:t>
            </w:r>
            <w:proofErr w:type="spellStart"/>
            <w:r>
              <w:rPr>
                <w:rFonts w:ascii="Arial" w:hAnsi="Arial" w:cs="Arial"/>
                <w:bCs/>
                <w:sz w:val="20"/>
                <w:lang w:val="it-IT"/>
              </w:rPr>
              <w:t>GmbH</w:t>
            </w:r>
            <w:proofErr w:type="spellEnd"/>
            <w:r>
              <w:rPr>
                <w:rFonts w:ascii="Arial" w:hAnsi="Arial" w:cs="Arial"/>
                <w:bCs/>
                <w:sz w:val="20"/>
                <w:lang w:val="it-IT"/>
              </w:rPr>
              <w:br/>
              <w:t>Brigitte Basilio</w:t>
            </w:r>
            <w:r>
              <w:rPr>
                <w:rFonts w:ascii="Arial" w:hAnsi="Arial" w:cs="Arial"/>
                <w:bCs/>
                <w:sz w:val="20"/>
                <w:lang w:val="it-IT"/>
              </w:rPr>
              <w:br/>
            </w:r>
            <w:proofErr w:type="spellStart"/>
            <w:r>
              <w:rPr>
                <w:rFonts w:ascii="Arial" w:hAnsi="Arial" w:cs="Arial"/>
                <w:bCs/>
                <w:sz w:val="20"/>
                <w:lang w:val="it-IT"/>
              </w:rPr>
              <w:t>Brunhamstraße</w:t>
            </w:r>
            <w:proofErr w:type="spellEnd"/>
            <w:r>
              <w:rPr>
                <w:rFonts w:ascii="Arial" w:hAnsi="Arial" w:cs="Arial"/>
                <w:bCs/>
                <w:sz w:val="20"/>
                <w:lang w:val="it-IT"/>
              </w:rPr>
              <w:t xml:space="preserve"> 21</w:t>
            </w:r>
            <w:r>
              <w:rPr>
                <w:rFonts w:ascii="Arial" w:hAnsi="Arial" w:cs="Arial"/>
                <w:bCs/>
                <w:sz w:val="20"/>
                <w:lang w:val="it-IT"/>
              </w:rPr>
              <w:br/>
              <w:t>81249 München</w:t>
            </w:r>
            <w:r>
              <w:rPr>
                <w:rFonts w:ascii="Arial" w:hAnsi="Arial" w:cs="Arial"/>
                <w:bCs/>
                <w:sz w:val="20"/>
                <w:lang w:val="it-IT"/>
              </w:rPr>
              <w:br/>
            </w:r>
            <w:proofErr w:type="spellStart"/>
            <w:r>
              <w:rPr>
                <w:rFonts w:ascii="Arial" w:hAnsi="Arial" w:cs="Arial"/>
                <w:bCs/>
                <w:sz w:val="20"/>
                <w:lang w:val="it-IT"/>
              </w:rPr>
              <w:t>Deutschland</w:t>
            </w:r>
            <w:proofErr w:type="spellEnd"/>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www.htcm.de</w:t>
            </w:r>
          </w:p>
        </w:tc>
      </w:tr>
    </w:tbl>
    <w:p>
      <w:pPr>
        <w:pStyle w:val="Textkrper"/>
        <w:spacing w:before="120" w:after="120" w:line="260" w:lineRule="exact"/>
      </w:pPr>
    </w:p>
    <w:p>
      <w:pPr>
        <w:pStyle w:val="Textkrper"/>
        <w:spacing w:before="120" w:after="120" w:line="276" w:lineRule="auto"/>
      </w:pPr>
    </w:p>
    <w:p>
      <w:pPr>
        <w:pStyle w:val="Textkrper"/>
        <w:spacing w:before="120" w:after="120" w:line="260" w:lineRule="exact"/>
      </w:pPr>
    </w:p>
    <w:p>
      <w:pPr>
        <w:pStyle w:val="Textkrper"/>
        <w:spacing w:before="120" w:after="120" w:line="276" w:lineRule="auto"/>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WTH1PI999 - PI IQRB-2_IQD_210716_DE_final.docx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4737</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2022-03-10T07:41:00Z</dcterms:created>
  <dcterms:modified xsi:type="dcterms:W3CDTF">2022-03-10T07:41:00Z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