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COMUNICATO STAMPA</w:t>
      </w:r>
    </w:p>
    <w:p>
      <w:pPr>
        <w:rPr>
          <w:rFonts w:ascii="Arial" w:hAnsi="Arial" w:cs="Arial"/>
          <w:b/>
          <w:bCs/>
        </w:rPr>
      </w:pPr>
      <w:r>
        <w:rPr>
          <w:rFonts w:ascii="Arial" w:hAnsi="Arial"/>
          <w:b/>
          <w:bCs/>
        </w:rPr>
        <w:t xml:space="preserve">Oscillatore IQD per piccoli package </w:t>
      </w:r>
    </w:p>
    <w:p>
      <w:pPr>
        <w:jc w:val="center"/>
        <w:rPr>
          <w:rFonts w:ascii="Arial" w:hAnsi="Arial" w:cs="Arial"/>
          <w:b/>
          <w:bCs/>
        </w:rPr>
      </w:pPr>
    </w:p>
    <w:p>
      <w:pPr>
        <w:pStyle w:val="Ends"/>
        <w:jc w:val="both"/>
        <w:rPr>
          <w:bCs/>
          <w:color w:val="000000"/>
          <w:sz w:val="36"/>
        </w:rPr>
      </w:pPr>
      <w:r>
        <w:rPr>
          <w:bCs/>
          <w:color w:val="000000"/>
          <w:sz w:val="36"/>
        </w:rPr>
        <w:t>Concepito per numerose applicazioni</w:t>
      </w:r>
    </w:p>
    <w:p>
      <w:pPr>
        <w:pStyle w:val="Ends"/>
        <w:jc w:val="both"/>
        <w:rPr>
          <w:rFonts w:cs="Times New Roman"/>
          <w:bCs/>
          <w:sz w:val="20"/>
          <w:szCs w:val="20"/>
        </w:rPr>
      </w:pPr>
      <w:r>
        <w:rPr>
          <w:bCs/>
          <w:sz w:val="20"/>
          <w:szCs w:val="20"/>
        </w:rPr>
        <w:t>Waldenburg (Germania), 4 ottobre 2021 – A causa della costante scarsità di componenti per package di dimensioni standard 3,2 x 2,5 mm, i prodotti per la frequenza con alloggiamenti più piccoli suscitano sempre più interesse. IQD, parte del gruppo Würth Elektronik eiSos, desidera quindi presentare agli ingegneri l'IQXO-54x, un oscillatore per clock di soli 2,0 x 1,6 mm.</w:t>
      </w:r>
    </w:p>
    <w:p>
      <w:pPr>
        <w:pStyle w:val="Ends"/>
        <w:jc w:val="both"/>
        <w:rPr>
          <w:rFonts w:cs="Times New Roman"/>
          <w:b w:val="0"/>
          <w:sz w:val="20"/>
        </w:rPr>
      </w:pPr>
      <w:r>
        <w:rPr>
          <w:b w:val="0"/>
          <w:sz w:val="20"/>
        </w:rPr>
        <w:t>Questo modello è disponibile con tre tensioni di alimentazione: 1,8 V, 2,5 V e 3,3 V. L'IQXO-54x è un oscillatore CMOS standard in un package miniaturizzato di soli 2,0 x 1,6 x 0,7 mm, indicato per un'ampia gamma di applicazioni tra cui dispositivi audio, multimediali e di comunicazione, IoT, applicazioni industriali, navigatori e sistemi di localizzazione, dispositivi Real Time Clock e strumenti di controllo e misura. L'IQXO-54x offre una stabilità fino a ±25 ppm a una temperatura di esercizio da -40 fino a 85 °C, tolleranza inclusa.</w:t>
      </w:r>
    </w:p>
    <w:p>
      <w:pPr>
        <w:pStyle w:val="Ends"/>
        <w:jc w:val="both"/>
        <w:rPr>
          <w:rFonts w:cs="Times New Roman"/>
          <w:b w:val="0"/>
          <w:sz w:val="20"/>
        </w:rPr>
      </w:pPr>
      <w:r>
        <w:rPr>
          <w:b w:val="0"/>
          <w:sz w:val="20"/>
        </w:rPr>
        <w:t xml:space="preserve">Accanto alla versione standard, ideale per applicazioni industriali, IQD offre anche una versione per il settore automobilistico, denominata IQXO-54x AUTO. Qualificato secondo gli standard AEC-Q200 e IATF-16949, questo modello ha una temperatura di esercizio da -40 fino a 125 °C ed è quindi particolarmente indicato per applicazioni in ambito automotive. </w:t>
      </w:r>
    </w:p>
    <w:p>
      <w:pPr>
        <w:pStyle w:val="Ends"/>
        <w:jc w:val="both"/>
        <w:rPr>
          <w:rFonts w:cs="Times New Roman"/>
          <w:b w:val="0"/>
          <w:sz w:val="20"/>
        </w:rPr>
      </w:pPr>
      <w:r>
        <w:rPr>
          <w:b w:val="0"/>
          <w:sz w:val="20"/>
        </w:rPr>
        <w:t>L'IQXO-54x è disponibile direttamente da IQD oppure attraverso uno dei suoi tanti partner a livello mondiale. Numerose frequenze sono disponibili a magazzino.</w:t>
      </w:r>
    </w:p>
    <w:p>
      <w:pPr>
        <w:pStyle w:val="Ends"/>
        <w:jc w:val="both"/>
        <w:rPr>
          <w:rFonts w:cs="Times New Roman"/>
          <w:b w:val="0"/>
          <w:sz w:val="20"/>
        </w:rPr>
      </w:pPr>
      <w:r>
        <w:rPr>
          <w:b w:val="0"/>
          <w:sz w:val="20"/>
        </w:rPr>
        <w:t xml:space="preserve">Informazioni dettagliate sulle serie IQXO-54x e IQXO-54x AUTO sono disponibili al sito </w:t>
      </w:r>
      <w:hyperlink r:id="rId8" w:history="1">
        <w:r>
          <w:rPr>
            <w:rStyle w:val="Hyperlink"/>
            <w:b w:val="0"/>
            <w:sz w:val="20"/>
          </w:rPr>
          <w:t>www.iqdfrequencyproducts.com</w:t>
        </w:r>
      </w:hyperlink>
      <w:r>
        <w:rPr>
          <w:b w:val="0"/>
          <w:sz w:val="20"/>
        </w:rPr>
        <w:t xml:space="preserve"> (in lingua inglese). Per ulteriori informazioni, il team di vendita IQD e l'Application Support Team sono a vostra completa disposizione.</w:t>
      </w:r>
    </w:p>
    <w:p>
      <w:pPr>
        <w:spacing w:after="120" w:line="280" w:lineRule="exact"/>
      </w:pPr>
      <w:r>
        <w:rPr>
          <w:rFonts w:ascii="Arial" w:hAnsi="Arial"/>
        </w:rPr>
        <w:br/>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pPr>
            <w:r>
              <w:lastRenderedPageBreak/>
              <w:br/>
            </w:r>
            <w:r>
              <w:rPr>
                <w:noProof/>
                <w:lang w:val="de-DE"/>
              </w:rPr>
              <w:drawing>
                <wp:inline distT="0" distB="0" distL="0" distR="0">
                  <wp:extent cx="2464435" cy="138049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4435" cy="1380490"/>
                          </a:xfrm>
                          <a:prstGeom prst="rect">
                            <a:avLst/>
                          </a:prstGeom>
                          <a:noFill/>
                          <a:ln>
                            <a:noFill/>
                          </a:ln>
                        </pic:spPr>
                      </pic:pic>
                    </a:graphicData>
                  </a:graphic>
                </wp:inline>
              </w:drawing>
            </w:r>
            <w:r>
              <w:rPr>
                <w:bCs/>
                <w:sz w:val="16"/>
                <w:szCs w:val="16"/>
              </w:rPr>
              <w:t>Foto di: IQD</w:t>
            </w:r>
            <w:r>
              <w:rPr>
                <w:bCs/>
                <w:sz w:val="16"/>
                <w:szCs w:val="16"/>
              </w:rPr>
              <w:br/>
            </w:r>
            <w:r>
              <w:rPr>
                <w:bCs/>
                <w:sz w:val="16"/>
                <w:szCs w:val="16"/>
              </w:rPr>
              <w:br/>
            </w:r>
            <w:r>
              <w:rPr>
                <w:b/>
                <w:color w:val="auto"/>
                <w:sz w:val="18"/>
                <w:szCs w:val="18"/>
              </w:rPr>
              <w:t>Oscillatore CMOS standard IQXO-54x</w:t>
            </w:r>
            <w:r>
              <w:rPr>
                <w:b/>
                <w:sz w:val="18"/>
                <w:szCs w:val="18"/>
              </w:rPr>
              <w:br/>
            </w:r>
          </w:p>
        </w:tc>
      </w:tr>
    </w:tbl>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r>
        <w:rPr>
          <w:rFonts w:ascii="Arial" w:hAnsi="Arial"/>
        </w:rPr>
        <w:t>IQD</w:t>
      </w:r>
    </w:p>
    <w:p>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Würth Elektronik eiSos,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per clock, quarzi e oscillatori AEC-Q200, VCXO, TCXO, OCVCSO e OCXO, con OCXO a sincronizzazione GPS e oscillatori al rubidio. </w:t>
      </w:r>
    </w:p>
    <w:p>
      <w:pPr>
        <w:pStyle w:val="Textkrper"/>
        <w:spacing w:before="120" w:line="276" w:lineRule="auto"/>
        <w:jc w:val="both"/>
        <w:rPr>
          <w:rFonts w:ascii="Arial" w:hAnsi="Arial"/>
        </w:rPr>
      </w:pPr>
      <w:r>
        <w:rPr>
          <w:rFonts w:ascii="Arial" w:hAnsi="Arial"/>
        </w:rPr>
        <w:t>Per ulteriori informazioni consultate www.iqdfrequencyproducts.com</w:t>
      </w:r>
    </w:p>
    <w:p>
      <w:pPr>
        <w:pStyle w:val="Textkrper"/>
        <w:spacing w:before="120" w:after="120" w:line="276" w:lineRule="auto"/>
        <w:rPr>
          <w:rFonts w:ascii="Arial" w:hAnsi="Arial"/>
        </w:rPr>
      </w:pPr>
    </w:p>
    <w:p>
      <w:pPr>
        <w:pStyle w:val="Textkrper"/>
        <w:spacing w:before="120" w:after="120" w:line="276" w:lineRule="auto"/>
        <w:jc w:val="both"/>
        <w:rPr>
          <w:rFonts w:ascii="Arial" w:hAnsi="Arial"/>
        </w:rPr>
      </w:pPr>
      <w:bookmarkStart w:id="1" w:name="_Hlk529547556"/>
      <w:r>
        <w:rPr>
          <w:rFonts w:ascii="Arial" w:hAnsi="Arial"/>
        </w:rPr>
        <w:t xml:space="preserve">Informazioni sul gruppo Würth Elektronik eiSos </w:t>
      </w:r>
    </w:p>
    <w:p>
      <w:pPr>
        <w:pStyle w:val="Textkrper"/>
        <w:spacing w:before="120" w:after="120" w:line="276" w:lineRule="auto"/>
        <w:jc w:val="both"/>
        <w:rPr>
          <w:rFonts w:ascii="Arial" w:hAnsi="Arial"/>
          <w:b w:val="0"/>
        </w:rPr>
      </w:pPr>
      <w:r>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pPr>
        <w:pStyle w:val="Textkrper"/>
        <w:spacing w:before="120" w:after="120" w:line="276" w:lineRule="auto"/>
        <w:jc w:val="both"/>
        <w:rPr>
          <w:rFonts w:ascii="Arial" w:hAnsi="Arial"/>
          <w:b w:val="0"/>
        </w:rPr>
      </w:pPr>
      <w:r>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bookmarkEnd w:id="1"/>
    <w:p>
      <w:pPr>
        <w:pStyle w:val="Textkrper"/>
        <w:spacing w:before="120" w:after="120" w:line="276" w:lineRule="auto"/>
        <w:jc w:val="both"/>
        <w:rPr>
          <w:rFonts w:ascii="Arial" w:hAnsi="Arial"/>
          <w:b w:val="0"/>
        </w:rPr>
      </w:pPr>
      <w:r>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pPr>
        <w:pStyle w:val="Textkrper"/>
        <w:spacing w:before="120" w:after="120" w:line="276" w:lineRule="auto"/>
        <w:jc w:val="both"/>
        <w:rPr>
          <w:rFonts w:ascii="Arial" w:hAnsi="Arial"/>
          <w:b w:val="0"/>
        </w:rPr>
      </w:pPr>
      <w:r>
        <w:rPr>
          <w:rFonts w:ascii="Arial" w:hAnsi="Arial"/>
          <w:b w:val="0"/>
        </w:rPr>
        <w:lastRenderedPageBreak/>
        <w:t>Würth Elektronik fa parte del gruppo Würth, leader mondiale nelle tecniche di montaggio e di fissaggio. L'azienda offre impiego a 7300 dipendenti e nel 2020 ha registrato un fatturato di 823 milioni di Euro.</w:t>
      </w:r>
    </w:p>
    <w:p>
      <w:pPr>
        <w:pStyle w:val="Textkrper"/>
        <w:spacing w:before="120" w:after="120" w:line="276" w:lineRule="auto"/>
        <w:rPr>
          <w:rFonts w:ascii="Arial" w:hAnsi="Arial"/>
          <w:b w:val="0"/>
          <w:lang w:val="en-US"/>
        </w:rPr>
      </w:pPr>
      <w:r>
        <w:rPr>
          <w:rFonts w:ascii="Arial" w:hAnsi="Arial"/>
          <w:b w:val="0"/>
          <w:lang w:val="en-US"/>
        </w:rPr>
        <w:t>Würth Elektronik: more than you expect!</w:t>
      </w:r>
    </w:p>
    <w:p>
      <w:pPr>
        <w:pStyle w:val="Textkrper"/>
        <w:spacing w:before="120" w:after="120" w:line="276" w:lineRule="auto"/>
        <w:rPr>
          <w:rFonts w:ascii="Arial" w:hAnsi="Arial"/>
        </w:rPr>
      </w:pPr>
      <w:r>
        <w:rPr>
          <w:rFonts w:ascii="Arial" w:hAnsi="Arial"/>
        </w:rPr>
        <w:t>Per ulteriori informazioni consultare il sito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rPr>
              <w:t>Per ulteriori informazioni:</w:t>
            </w:r>
          </w:p>
          <w:p>
            <w:pPr>
              <w:spacing w:before="120" w:after="120" w:line="276" w:lineRule="auto"/>
              <w:rPr>
                <w:rFonts w:ascii="Arial" w:hAnsi="Arial" w:cs="Arial"/>
                <w:sz w:val="20"/>
              </w:rPr>
            </w:pPr>
            <w:r>
              <w:rPr>
                <w:rFonts w:ascii="Arial" w:hAnsi="Arial"/>
                <w:sz w:val="20"/>
              </w:rPr>
              <w:t xml:space="preserve">IQD </w:t>
            </w:r>
            <w:proofErr w:type="spellStart"/>
            <w:r>
              <w:rPr>
                <w:rFonts w:ascii="Arial" w:hAnsi="Arial"/>
                <w:sz w:val="20"/>
              </w:rPr>
              <w:t>Frequency</w:t>
            </w:r>
            <w:proofErr w:type="spellEnd"/>
            <w:r>
              <w:rPr>
                <w:rFonts w:ascii="Arial" w:hAnsi="Arial"/>
                <w:sz w:val="20"/>
              </w:rPr>
              <w:t xml:space="preserve"> </w:t>
            </w:r>
            <w:proofErr w:type="spellStart"/>
            <w:r>
              <w:rPr>
                <w:rFonts w:ascii="Arial" w:hAnsi="Arial"/>
                <w:sz w:val="20"/>
              </w:rPr>
              <w:t>Products</w:t>
            </w:r>
            <w:proofErr w:type="spellEnd"/>
            <w:r>
              <w:rPr>
                <w:rFonts w:ascii="Arial" w:hAnsi="Arial"/>
                <w:sz w:val="20"/>
              </w:rPr>
              <w:t xml:space="preserve"> Ltd</w:t>
            </w:r>
            <w:r>
              <w:rPr>
                <w:rFonts w:ascii="Arial" w:hAnsi="Arial"/>
                <w:sz w:val="20"/>
              </w:rPr>
              <w:br/>
              <w:t>Rebecca Long</w:t>
            </w:r>
            <w:r>
              <w:rPr>
                <w:rFonts w:ascii="Arial" w:hAnsi="Arial"/>
                <w:sz w:val="20"/>
              </w:rPr>
              <w:br/>
              <w:t>Station Road</w:t>
            </w:r>
            <w:r>
              <w:rPr>
                <w:rFonts w:ascii="Arial" w:hAnsi="Arial"/>
                <w:sz w:val="20"/>
              </w:rPr>
              <w:br/>
            </w:r>
            <w:proofErr w:type="spellStart"/>
            <w:r>
              <w:rPr>
                <w:rFonts w:ascii="Arial" w:hAnsi="Arial"/>
                <w:sz w:val="20"/>
              </w:rPr>
              <w:t>Crewkerne</w:t>
            </w:r>
            <w:proofErr w:type="spellEnd"/>
            <w:r>
              <w:rPr>
                <w:rFonts w:ascii="Arial" w:hAnsi="Arial"/>
                <w:sz w:val="20"/>
              </w:rPr>
              <w:br/>
            </w:r>
            <w:proofErr w:type="spellStart"/>
            <w:r>
              <w:rPr>
                <w:rFonts w:ascii="Arial" w:hAnsi="Arial"/>
                <w:sz w:val="20"/>
              </w:rPr>
              <w:t>Somerset</w:t>
            </w:r>
            <w:proofErr w:type="spellEnd"/>
            <w:r>
              <w:rPr>
                <w:rFonts w:ascii="Arial" w:hAnsi="Arial"/>
                <w:sz w:val="20"/>
              </w:rPr>
              <w:br/>
              <w:t>TA18 8AR</w:t>
            </w:r>
            <w:r>
              <w:rPr>
                <w:rFonts w:ascii="Arial" w:hAnsi="Arial"/>
                <w:sz w:val="20"/>
              </w:rPr>
              <w:br/>
              <w:t>Regno Unito</w:t>
            </w:r>
          </w:p>
          <w:p>
            <w:pPr>
              <w:spacing w:before="120" w:after="120" w:line="276" w:lineRule="auto"/>
              <w:rPr>
                <w:rFonts w:ascii="Arial" w:hAnsi="Arial" w:cs="Arial"/>
                <w:bCs/>
                <w:sz w:val="20"/>
              </w:rPr>
            </w:pPr>
            <w:r>
              <w:rPr>
                <w:rFonts w:ascii="Arial" w:hAnsi="Arial"/>
                <w:sz w:val="20"/>
              </w:rPr>
              <w:t>Telefono: +44 1460 270270</w:t>
            </w:r>
            <w:r>
              <w:rPr>
                <w:rFonts w:ascii="Arial" w:hAnsi="Arial"/>
                <w:sz w:val="20"/>
              </w:rPr>
              <w:br/>
              <w:t xml:space="preserve">E-Mail: </w:t>
            </w:r>
            <w:hyperlink r:id="rId10">
              <w:r>
                <w:rPr>
                  <w:rFonts w:ascii="Arial" w:hAnsi="Arial"/>
                  <w:sz w:val="20"/>
                </w:rPr>
                <w:t>rebecca.long@iqdfrequencyproducts.com</w:t>
              </w:r>
            </w:hyperlink>
          </w:p>
          <w:p>
            <w:pPr>
              <w:tabs>
                <w:tab w:val="left" w:pos="1065"/>
              </w:tabs>
              <w:spacing w:before="120" w:after="120" w:line="276" w:lineRule="auto"/>
              <w:rPr>
                <w:rFonts w:ascii="Arial" w:hAnsi="Arial" w:cs="Arial"/>
                <w:bCs/>
                <w:sz w:val="20"/>
                <w:szCs w:val="20"/>
              </w:rPr>
            </w:pPr>
            <w:r>
              <w:rPr>
                <w:rFonts w:ascii="Arial" w:hAnsi="Arial"/>
                <w:sz w:val="20"/>
              </w:rPr>
              <w:t>www.we-online.com</w:t>
            </w:r>
            <w:r>
              <w:rPr>
                <w:rFonts w:ascii="Arial" w:hAnsi="Arial"/>
                <w:bCs/>
                <w:sz w:val="20"/>
              </w:rPr>
              <w:br/>
            </w:r>
            <w:hyperlink r:id="rId11">
              <w:r>
                <w:rPr>
                  <w:rFonts w:ascii="Arial" w:hAnsi="Arial"/>
                  <w:sz w:val="20"/>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w:t>
            </w:r>
            <w:proofErr w:type="spellStart"/>
            <w:r>
              <w:rPr>
                <w:rFonts w:ascii="Arial" w:hAnsi="Arial"/>
                <w:sz w:val="20"/>
              </w:rPr>
              <w:t>communications</w:t>
            </w:r>
            <w:proofErr w:type="spellEnd"/>
            <w:r>
              <w:rPr>
                <w:rFonts w:ascii="Arial" w:hAnsi="Arial"/>
                <w:sz w:val="20"/>
              </w:rPr>
              <w:t xml:space="preserve"> </w:t>
            </w:r>
            <w:proofErr w:type="spellStart"/>
            <w:r>
              <w:rPr>
                <w:rFonts w:ascii="Arial" w:hAnsi="Arial"/>
                <w:sz w:val="20"/>
              </w:rPr>
              <w:t>GmbH</w:t>
            </w:r>
            <w:proofErr w:type="spellEnd"/>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pPr>
              <w:tabs>
                <w:tab w:val="left" w:pos="1065"/>
              </w:tabs>
              <w:spacing w:before="120" w:after="120" w:line="276" w:lineRule="auto"/>
              <w:rPr>
                <w:rFonts w:ascii="Arial" w:hAnsi="Arial" w:cs="Arial"/>
                <w:bCs/>
                <w:sz w:val="20"/>
              </w:rPr>
            </w:pPr>
            <w:r>
              <w:rPr>
                <w:rFonts w:ascii="Arial" w:hAnsi="Arial"/>
                <w:sz w:val="20"/>
              </w:rPr>
              <w:t>www.htcm.de</w:t>
            </w:r>
          </w:p>
        </w:tc>
      </w:tr>
    </w:tbl>
    <w:p>
      <w:pPr>
        <w:pStyle w:val="Textkrper"/>
        <w:spacing w:before="120" w:after="120" w:line="276" w:lineRule="auto"/>
        <w:jc w:val="both"/>
      </w:pPr>
    </w:p>
    <w:p>
      <w:pPr>
        <w:pStyle w:val="Textkrper"/>
        <w:spacing w:before="120" w:after="120" w:line="260" w:lineRule="exact"/>
        <w:jc w:val="both"/>
        <w:rPr>
          <w:rFonts w:ascii="Arial" w:hAnsi="Arial"/>
          <w:b w:val="0"/>
          <w:bCs w:val="0"/>
        </w:rPr>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WTH1PI1016.docx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it-IT"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it-IT"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qdfrequencyproduct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dfrequencyproduc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DB34B-BE36-4DD1-8856-86D3F4DD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4808</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2022-03-10T08:10:00Z</dcterms:created>
  <dcterms:modified xsi:type="dcterms:W3CDTF">2022-03-10T08:10:00Z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