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pStyle w:val="berschrift1"/>
        <w:spacing w:before="720" w:after="720" w:line="260" w:lineRule="exact"/>
        <w:rPr>
          <w:sz w:val="20"/>
        </w:rPr>
      </w:pPr>
      <w:bookmarkStart w:id="0" w:name="_GoBack"/>
      <w:bookmarkEnd w:id="0"/>
      <w:r>
        <w:rPr>
          <w:sz w:val="20"/>
        </w:rPr>
        <w:t>COMUNICADO DE PRENSA</w:t>
      </w:r>
    </w:p>
    <w:p>
      <w:pPr>
        <w:rPr>
          <w:rFonts w:ascii="Arial" w:hAnsi="Arial" w:cs="Arial"/>
          <w:b/>
          <w:bCs/>
        </w:rPr>
      </w:pPr>
      <w:r>
        <w:rPr>
          <w:rFonts w:ascii="Arial" w:hAnsi="Arial"/>
          <w:b/>
        </w:rPr>
        <w:t xml:space="preserve">Manual del oscilador de rubidio IQRB-2, ahora con un resumen de los principales datos eléctricos medidos </w:t>
      </w:r>
    </w:p>
    <w:p>
      <w:pPr>
        <w:pStyle w:val="Kopfzeile"/>
        <w:tabs>
          <w:tab w:val="clear" w:pos="4536"/>
          <w:tab w:val="clear" w:pos="9072"/>
        </w:tabs>
        <w:spacing w:before="360" w:after="360"/>
        <w:rPr>
          <w:rFonts w:ascii="Arial" w:hAnsi="Arial" w:cs="Arial"/>
          <w:b/>
          <w:bCs/>
          <w:sz w:val="36"/>
        </w:rPr>
      </w:pPr>
      <w:r>
        <w:rPr>
          <w:rFonts w:ascii="Arial" w:hAnsi="Arial"/>
          <w:b/>
          <w:color w:val="000000"/>
          <w:sz w:val="36"/>
        </w:rPr>
        <w:t>Actualización para el oscilador de rubidio IQRB-2 de IQD de elevadas prestaciones</w:t>
      </w:r>
    </w:p>
    <w:p>
      <w:pPr>
        <w:pStyle w:val="Textkrper"/>
        <w:spacing w:before="120" w:after="120" w:line="260" w:lineRule="exact"/>
        <w:jc w:val="both"/>
        <w:rPr>
          <w:rFonts w:ascii="Arial" w:hAnsi="Arial"/>
          <w:color w:val="000000"/>
        </w:rPr>
      </w:pPr>
      <w:r>
        <w:rPr>
          <w:rFonts w:ascii="Arial" w:hAnsi="Arial"/>
          <w:color w:val="000000"/>
        </w:rPr>
        <w:t>Waldenburg (Alemania), 1 de septiembre de 2021 – IQD, una empresa del grupo Würth Elektronik eiSos, ha completado con el manual del oscilador de rubidio IQRB-2 su amplia gama de productos de rubidio. El manual completo también resume las pruebas realizadas: desde la estabilidad de la temperatura hasta la estabilidad a corto plazo, aumentando la oferta.</w:t>
      </w:r>
    </w:p>
    <w:p>
      <w:pPr>
        <w:pStyle w:val="Textkrper"/>
        <w:spacing w:before="120" w:after="120" w:line="260" w:lineRule="exact"/>
        <w:jc w:val="both"/>
        <w:rPr>
          <w:rFonts w:ascii="Arial" w:hAnsi="Arial"/>
          <w:b w:val="0"/>
          <w:bCs w:val="0"/>
          <w:color w:val="000000"/>
        </w:rPr>
      </w:pPr>
      <w:r>
        <w:rPr>
          <w:rFonts w:ascii="Arial" w:hAnsi="Arial"/>
          <w:b w:val="0"/>
          <w:color w:val="000000"/>
        </w:rPr>
        <w:t>El IQRB-2 completa la oferta entre el IQRB-1 y el IQRB-3. El IQRB-1 impresiona por su excelente relación calidad-precio, mientras que el IQRB-3 garantiza un rendimiento excepcional del ruido de fase junto con la sincronización a 1PPS. El IQRB-2 ofrece un excelente ruido de fase que se acerca a las prestaciones del IQRB-3: un ruido de fase cercano al portador de -108 dBc/Hz a 1 Hz y un ruido de fondo de -158 dBc/Hz a 10 kHz e inferior. Al no ofrecer sincronización 1-PPS, está disponible a un precio más competitivo que el IQRB-3. Con una estabilidad a corto plazo de 0,0075 ppb @ Tau = 100 s y un envejecimiento máximo de 0,05 ppb por mes, el IQRB-2 sigue siendo una opción perfecta para multitud de aplicaciones de sincronización de tiempo y frecuencia.</w:t>
      </w:r>
    </w:p>
    <w:p>
      <w:pPr>
        <w:pStyle w:val="Textkrper"/>
        <w:spacing w:before="120" w:after="120" w:line="260" w:lineRule="exact"/>
        <w:jc w:val="both"/>
        <w:rPr>
          <w:rFonts w:ascii="Arial" w:hAnsi="Arial"/>
          <w:b w:val="0"/>
          <w:bCs w:val="0"/>
          <w:color w:val="000000"/>
        </w:rPr>
      </w:pPr>
      <w:r>
        <w:rPr>
          <w:rFonts w:ascii="Arial" w:hAnsi="Arial"/>
          <w:b w:val="0"/>
          <w:color w:val="000000"/>
        </w:rPr>
        <w:t>En el nuevo folleto sobre los productos de rubidio se ofrece un práctico resumen de todos ellos, este está disponible en la sección de recursos de la página web de IQD.</w:t>
      </w:r>
    </w:p>
    <w:p>
      <w:pPr>
        <w:pStyle w:val="Textkrper"/>
        <w:spacing w:before="120" w:after="120" w:line="260" w:lineRule="exact"/>
        <w:jc w:val="both"/>
        <w:rPr>
          <w:rFonts w:ascii="Arial" w:hAnsi="Arial"/>
          <w:b w:val="0"/>
          <w:bCs w:val="0"/>
          <w:color w:val="000000"/>
        </w:rPr>
      </w:pPr>
      <w:r>
        <w:rPr>
          <w:rFonts w:ascii="Arial" w:hAnsi="Arial"/>
          <w:b w:val="0"/>
          <w:color w:val="000000"/>
        </w:rPr>
        <w:t xml:space="preserve">Para más información sobre IQRB2 o la gama de productos de rubidio de IQD, consulte </w:t>
      </w:r>
      <w:hyperlink r:id="rId7" w:history="1">
        <w:r>
          <w:rPr>
            <w:rStyle w:val="Hyperlink"/>
            <w:rFonts w:ascii="Arial" w:hAnsi="Arial"/>
            <w:b w:val="0"/>
          </w:rPr>
          <w:t>www.iqdfrequencyproducts.</w:t>
        </w:r>
      </w:hyperlink>
      <w:r>
        <w:rPr>
          <w:rStyle w:val="Hyperlink"/>
          <w:rFonts w:ascii="Arial" w:hAnsi="Arial"/>
          <w:b w:val="0"/>
        </w:rPr>
        <w:t>com</w:t>
      </w:r>
      <w:r>
        <w:rPr>
          <w:rFonts w:ascii="Arial" w:hAnsi="Arial"/>
          <w:b w:val="0"/>
          <w:color w:val="000000"/>
        </w:rPr>
        <w:t xml:space="preserve">. El manual de IQRB-2 puede solicitarse en las oficinas de venta de IQD. </w:t>
      </w:r>
    </w:p>
    <w:p>
      <w:pPr>
        <w:pStyle w:val="Textkrper"/>
        <w:spacing w:before="120" w:after="120" w:line="260" w:lineRule="exact"/>
        <w:jc w:val="both"/>
        <w:rPr>
          <w:rFonts w:ascii="Arial" w:hAnsi="Arial"/>
          <w:b w:val="0"/>
          <w:bCs w:val="0"/>
        </w:rPr>
      </w:pPr>
    </w:p>
    <w:p>
      <w:pPr>
        <w:pStyle w:val="Textkrper"/>
        <w:spacing w:before="120" w:after="120" w:line="260" w:lineRule="exact"/>
        <w:jc w:val="both"/>
        <w:rPr>
          <w:rFonts w:ascii="Arial" w:hAnsi="Arial"/>
          <w:b w:val="0"/>
          <w:bCs w:val="0"/>
        </w:rPr>
      </w:pPr>
    </w:p>
    <w:p>
      <w:pPr>
        <w:pStyle w:val="PITextkrper"/>
        <w:pBdr>
          <w:top w:val="single" w:sz="4" w:space="1" w:color="auto"/>
        </w:pBdr>
        <w:spacing w:before="240"/>
        <w:rPr>
          <w:b/>
          <w:sz w:val="18"/>
          <w:szCs w:val="18"/>
        </w:rPr>
      </w:pPr>
    </w:p>
    <w:p>
      <w:pPr>
        <w:spacing w:after="120" w:line="280" w:lineRule="exact"/>
        <w:rPr>
          <w:rFonts w:ascii="Arial" w:hAnsi="Arial" w:cs="Arial"/>
          <w:b/>
          <w:bCs/>
          <w:sz w:val="18"/>
          <w:szCs w:val="18"/>
        </w:rPr>
      </w:pPr>
      <w:r>
        <w:rPr>
          <w:rFonts w:ascii="Arial" w:hAnsi="Arial"/>
          <w:b/>
          <w:sz w:val="18"/>
        </w:rPr>
        <w:t>Material de imágenes disponible</w:t>
      </w:r>
    </w:p>
    <w:p>
      <w:pPr>
        <w:spacing w:after="120" w:line="280" w:lineRule="exact"/>
        <w:rPr>
          <w:rFonts w:ascii="Arial" w:hAnsi="Arial"/>
          <w:color w:val="0000FF"/>
          <w:sz w:val="18"/>
          <w:u w:val="single"/>
        </w:rPr>
      </w:pPr>
      <w:r>
        <w:rPr>
          <w:rFonts w:ascii="Arial" w:hAnsi="Arial"/>
          <w:sz w:val="18"/>
        </w:rPr>
        <w:t>El siguiente material de imágenes se halla disponible para impresión y descarga en:</w:t>
      </w:r>
      <w:r>
        <w:t xml:space="preserve"> </w:t>
      </w:r>
      <w:hyperlink r:id="rId8" w:history="1">
        <w:r>
          <w:rPr>
            <w:rStyle w:val="Hyperlink"/>
            <w:rFonts w:ascii="Arial" w:hAnsi="Arial" w:cs="Arial"/>
            <w:sz w:val="18"/>
            <w:szCs w:val="18"/>
          </w:rPr>
          <w:t>https://kk.htcm.de/press-releases/wuerth/</w:t>
        </w:r>
      </w:hyperlink>
    </w:p>
    <w:p>
      <w:pPr>
        <w:spacing w:after="120" w:line="280" w:lineRule="exact"/>
      </w:pPr>
    </w:p>
    <w:tbl>
      <w:tblPr>
        <w:tblW w:w="4077"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077"/>
      </w:tblGrid>
      <w:tr>
        <w:trPr>
          <w:trHeight w:val="557"/>
        </w:trPr>
        <w:tc>
          <w:tcPr>
            <w:tcW w:w="4077" w:type="dxa"/>
          </w:tcPr>
          <w:p>
            <w:pPr>
              <w:pStyle w:val="txt"/>
            </w:pPr>
            <w:r>
              <w:lastRenderedPageBreak/>
              <w:br/>
            </w:r>
            <w:r>
              <w:rPr>
                <w:noProof/>
                <w:lang w:val="de-DE"/>
              </w:rPr>
              <w:drawing>
                <wp:inline distT="0" distB="0" distL="0" distR="0">
                  <wp:extent cx="2457450" cy="1552575"/>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57450" cy="1552575"/>
                          </a:xfrm>
                          <a:prstGeom prst="rect">
                            <a:avLst/>
                          </a:prstGeom>
                          <a:noFill/>
                          <a:ln>
                            <a:noFill/>
                          </a:ln>
                        </pic:spPr>
                      </pic:pic>
                    </a:graphicData>
                  </a:graphic>
                </wp:inline>
              </w:drawing>
            </w:r>
            <w:r>
              <w:rPr>
                <w:sz w:val="16"/>
              </w:rPr>
              <w:t>Fuente de la imagen: IQD</w:t>
            </w:r>
            <w:r>
              <w:rPr>
                <w:sz w:val="16"/>
              </w:rPr>
              <w:br/>
            </w:r>
            <w:r>
              <w:rPr>
                <w:sz w:val="16"/>
              </w:rPr>
              <w:br/>
            </w:r>
            <w:r>
              <w:rPr>
                <w:b/>
                <w:color w:val="auto"/>
                <w:sz w:val="18"/>
              </w:rPr>
              <w:t>El IQRB-2 completa la gama de osciladores de rubidio de IQD.</w:t>
            </w:r>
            <w:r>
              <w:rPr>
                <w:b/>
                <w:sz w:val="18"/>
              </w:rPr>
              <w:br/>
            </w:r>
          </w:p>
        </w:tc>
      </w:tr>
    </w:tbl>
    <w:p>
      <w:pPr>
        <w:pStyle w:val="Textkrper"/>
        <w:spacing w:before="120" w:after="120" w:line="260" w:lineRule="exact"/>
        <w:jc w:val="both"/>
        <w:rPr>
          <w:rFonts w:ascii="Arial" w:hAnsi="Arial"/>
          <w:b w:val="0"/>
          <w:bCs w:val="0"/>
        </w:rPr>
      </w:pPr>
    </w:p>
    <w:p>
      <w:pPr>
        <w:pStyle w:val="Textkrper"/>
        <w:spacing w:before="120" w:after="120" w:line="260" w:lineRule="exact"/>
        <w:jc w:val="both"/>
        <w:rPr>
          <w:rFonts w:ascii="Arial" w:hAnsi="Arial"/>
          <w:b w:val="0"/>
          <w:bCs w:val="0"/>
        </w:rPr>
      </w:pPr>
    </w:p>
    <w:p>
      <w:pPr>
        <w:pStyle w:val="PITextkrper"/>
        <w:pBdr>
          <w:top w:val="single" w:sz="4" w:space="1" w:color="auto"/>
        </w:pBdr>
        <w:spacing w:before="240"/>
        <w:rPr>
          <w:b/>
          <w:sz w:val="18"/>
          <w:szCs w:val="18"/>
        </w:rPr>
      </w:pPr>
    </w:p>
    <w:p>
      <w:pPr>
        <w:pStyle w:val="Textkrper"/>
        <w:spacing w:before="120" w:after="120" w:line="276" w:lineRule="auto"/>
        <w:jc w:val="both"/>
        <w:rPr>
          <w:rFonts w:ascii="Arial" w:hAnsi="Arial"/>
        </w:rPr>
      </w:pPr>
      <w:r>
        <w:rPr>
          <w:rFonts w:ascii="Arial" w:hAnsi="Arial"/>
        </w:rPr>
        <w:t>Acerca de IQD</w:t>
      </w:r>
    </w:p>
    <w:p>
      <w:pPr>
        <w:pStyle w:val="Textkrper"/>
        <w:spacing w:before="120" w:line="276" w:lineRule="auto"/>
        <w:jc w:val="both"/>
        <w:rPr>
          <w:rFonts w:ascii="Arial" w:hAnsi="Arial"/>
          <w:b w:val="0"/>
        </w:rPr>
      </w:pPr>
      <w:r>
        <w:rPr>
          <w:rFonts w:ascii="Arial" w:hAnsi="Arial"/>
          <w:b w:val="0"/>
        </w:rPr>
        <w:t xml:space="preserve">Con más de 40 años de experiencia en la fabricación de productos de frecuencia, IQD es un líder del mercado, reconocido en el segmento de la regulación de frecuencia y forma parte del grupo Würth Elektronik eiSos, uno de los fabricantes líder en Europa de componentes pasivos, con clientes activos en más de 80 países. IQD ofrece una de las gamas más completas de productos de frecuencia, desde productos comerciales económicos hasta versiones para uso en aplicaciones industriales muy fiables, como por ejemplo del sector de la automoción, entre ellas: cristales de cuarzo, osciladores y cuarzos AEC-Q200, VCXO, TCXO, </w:t>
      </w:r>
      <w:r>
        <w:rPr>
          <w:rFonts w:ascii="Arial" w:hAnsi="Arial"/>
          <w:b w:val="0"/>
          <w:lang w:val="en-US"/>
        </w:rPr>
        <w:t xml:space="preserve">OCVCSO y </w:t>
      </w:r>
      <w:r>
        <w:rPr>
          <w:rFonts w:ascii="Arial" w:hAnsi="Arial"/>
          <w:b w:val="0"/>
        </w:rPr>
        <w:t xml:space="preserve">OCXO, OCXO sincronizados por GPS, así como osciladores de rubidio. </w:t>
      </w:r>
    </w:p>
    <w:p>
      <w:pPr>
        <w:pStyle w:val="Textkrper"/>
        <w:spacing w:before="120" w:line="276" w:lineRule="auto"/>
        <w:jc w:val="both"/>
        <w:rPr>
          <w:rFonts w:ascii="Arial" w:hAnsi="Arial"/>
        </w:rPr>
      </w:pPr>
      <w:r>
        <w:rPr>
          <w:rFonts w:ascii="Arial" w:hAnsi="Arial"/>
        </w:rPr>
        <w:t>Más información en www.iqdfrequencyproducts.com</w:t>
      </w:r>
    </w:p>
    <w:p>
      <w:pPr>
        <w:pStyle w:val="Textkrper"/>
        <w:spacing w:before="120" w:after="120" w:line="276" w:lineRule="auto"/>
        <w:rPr>
          <w:rFonts w:ascii="Arial" w:hAnsi="Arial"/>
        </w:rPr>
      </w:pPr>
    </w:p>
    <w:p>
      <w:pPr>
        <w:pStyle w:val="Textkrper"/>
        <w:spacing w:before="120" w:after="120" w:line="276" w:lineRule="auto"/>
        <w:jc w:val="both"/>
        <w:rPr>
          <w:rFonts w:ascii="Arial" w:hAnsi="Arial"/>
        </w:rPr>
      </w:pPr>
      <w:bookmarkStart w:id="1" w:name="_Hlk529547556"/>
      <w:r>
        <w:rPr>
          <w:rFonts w:ascii="Arial" w:hAnsi="Arial"/>
        </w:rPr>
        <w:t xml:space="preserve">Acerca del Grupo Würth Elektronik eiSos </w:t>
      </w:r>
    </w:p>
    <w:p>
      <w:pPr>
        <w:pStyle w:val="Textkrper"/>
        <w:spacing w:before="120" w:after="120" w:line="276" w:lineRule="auto"/>
        <w:jc w:val="both"/>
        <w:rPr>
          <w:rFonts w:ascii="Arial" w:hAnsi="Arial"/>
          <w:b w:val="0"/>
          <w:lang w:val="en-US"/>
        </w:rPr>
      </w:pPr>
      <w:r>
        <w:rPr>
          <w:rFonts w:ascii="Arial" w:hAnsi="Arial"/>
          <w:b w:val="0"/>
          <w:lang w:val="en-US"/>
        </w:rPr>
        <w:t>El Grupo Würth Elektronik eiSos es un fabricante de componentes electrónicos y electromecánicos para la industria electrónica y facilitador tecnológico para soluciones electrónicas orientadas al futuro. Würth Elektronik eiSos es uno de los mayores fabricantes europeos de componentes pasivos y opera en 50 países. Sus plantas de producción en Europa, Asia y América del Norte suministran productos a un creciente número de clientes en todo el mundo.</w:t>
      </w:r>
    </w:p>
    <w:p>
      <w:pPr>
        <w:pStyle w:val="Textkrper"/>
        <w:spacing w:before="120" w:after="120" w:line="276" w:lineRule="auto"/>
        <w:jc w:val="both"/>
        <w:rPr>
          <w:rFonts w:ascii="Arial" w:hAnsi="Arial"/>
          <w:b w:val="0"/>
        </w:rPr>
      </w:pPr>
      <w:r>
        <w:rPr>
          <w:rFonts w:ascii="Arial" w:hAnsi="Arial"/>
          <w:b w:val="0"/>
        </w:rPr>
        <w:t>La gama de productos incluye componentes de CEM, inductores, transformadores, componentes de RF, varistores, condensadores, resistencias, cuarzos, osciladores, módulos de potencia, transferencia de potencia inalámbrica, LED, sensores, conectores, elementos para fuentes de alimentación, interruptores, pulsadores, tecnología de conexión, portafusibles, así como soluciones para la transmisión inalámbrica de datos.</w:t>
      </w:r>
    </w:p>
    <w:p>
      <w:pPr>
        <w:pStyle w:val="Textkrper"/>
        <w:spacing w:before="120" w:after="120" w:line="276" w:lineRule="auto"/>
        <w:jc w:val="both"/>
        <w:rPr>
          <w:rFonts w:ascii="Arial" w:hAnsi="Arial"/>
          <w:b w:val="0"/>
        </w:rPr>
      </w:pPr>
    </w:p>
    <w:p>
      <w:pPr>
        <w:pStyle w:val="Textkrper"/>
        <w:spacing w:before="120" w:after="120" w:line="276" w:lineRule="auto"/>
        <w:jc w:val="both"/>
        <w:rPr>
          <w:rFonts w:ascii="Arial" w:hAnsi="Arial"/>
          <w:b w:val="0"/>
        </w:rPr>
      </w:pPr>
    </w:p>
    <w:p>
      <w:pPr>
        <w:pStyle w:val="Textkrper"/>
        <w:spacing w:before="120" w:after="120" w:line="276" w:lineRule="auto"/>
        <w:jc w:val="both"/>
        <w:rPr>
          <w:rFonts w:ascii="Arial" w:hAnsi="Arial"/>
          <w:b w:val="0"/>
        </w:rPr>
      </w:pPr>
      <w:r>
        <w:rPr>
          <w:rFonts w:ascii="Arial" w:hAnsi="Arial"/>
          <w:b w:val="0"/>
        </w:rPr>
        <w:t xml:space="preserve">La orientación de servicio única de la empresa se caracteriza por la disponibilidad de todos los componentes del catálogo desde el almacén sin una cantidad mínima de pedido, muestras gratuitas y un amplio apoyo por parte del personal técnico de ventas y herramientas de selección. </w:t>
      </w:r>
    </w:p>
    <w:bookmarkEnd w:id="1"/>
    <w:p>
      <w:pPr>
        <w:pStyle w:val="Textkrper"/>
        <w:spacing w:before="120" w:after="120" w:line="276" w:lineRule="auto"/>
        <w:jc w:val="both"/>
        <w:rPr>
          <w:rFonts w:ascii="Arial" w:hAnsi="Arial"/>
          <w:b w:val="0"/>
        </w:rPr>
      </w:pPr>
      <w:r>
        <w:rPr>
          <w:rFonts w:ascii="Arial" w:hAnsi="Arial"/>
          <w:b w:val="0"/>
        </w:rPr>
        <w:t>Würth Elektronik forma parte del Grupo Würth, líder del mercado mundial de la tecnología de montaje y fijación. La empresa emplea a 7300 trabajadores y generó una facturación de 823 millones de euros en 2020.</w:t>
      </w:r>
    </w:p>
    <w:p>
      <w:pPr>
        <w:pStyle w:val="Textkrper"/>
        <w:spacing w:before="120" w:after="120" w:line="276" w:lineRule="auto"/>
        <w:rPr>
          <w:rFonts w:ascii="Arial" w:hAnsi="Arial"/>
          <w:b w:val="0"/>
          <w:lang w:val="en-US"/>
        </w:rPr>
      </w:pPr>
      <w:r>
        <w:rPr>
          <w:rFonts w:ascii="Arial" w:hAnsi="Arial"/>
          <w:b w:val="0"/>
          <w:lang w:val="en-US"/>
        </w:rPr>
        <w:t>Würth Elektronik: more than you expect!</w:t>
      </w:r>
    </w:p>
    <w:p>
      <w:pPr>
        <w:pStyle w:val="Textkrper"/>
        <w:spacing w:before="120" w:after="120" w:line="276" w:lineRule="auto"/>
        <w:rPr>
          <w:rFonts w:ascii="Arial" w:hAnsi="Arial"/>
          <w:lang w:val="de-DE"/>
        </w:rPr>
      </w:pPr>
      <w:r>
        <w:rPr>
          <w:rFonts w:ascii="Arial" w:hAnsi="Arial"/>
        </w:rPr>
        <w:t>Más información en www.we-online.com</w:t>
      </w:r>
    </w:p>
    <w:p>
      <w:pPr>
        <w:pStyle w:val="Textkrper"/>
        <w:spacing w:before="120" w:after="120" w:line="276" w:lineRule="auto"/>
        <w:rPr>
          <w:lang w:val="de-DE"/>
        </w:rPr>
      </w:pPr>
    </w:p>
    <w:tbl>
      <w:tblPr>
        <w:tblW w:w="7095" w:type="dxa"/>
        <w:tblLayout w:type="fixed"/>
        <w:tblCellMar>
          <w:left w:w="70" w:type="dxa"/>
          <w:right w:w="70" w:type="dxa"/>
        </w:tblCellMar>
        <w:tblLook w:val="04A0" w:firstRow="1" w:lastRow="0" w:firstColumn="1" w:lastColumn="0" w:noHBand="0" w:noVBand="1"/>
      </w:tblPr>
      <w:tblGrid>
        <w:gridCol w:w="3902"/>
        <w:gridCol w:w="3193"/>
      </w:tblGrid>
      <w:tr>
        <w:tc>
          <w:tcPr>
            <w:tcW w:w="3902" w:type="dxa"/>
            <w:shd w:val="clear" w:color="auto" w:fill="auto"/>
            <w:hideMark/>
          </w:tcPr>
          <w:p>
            <w:pPr>
              <w:pStyle w:val="Textkrper"/>
              <w:autoSpaceDE/>
              <w:adjustRightInd/>
              <w:spacing w:before="120" w:after="120" w:line="276" w:lineRule="auto"/>
              <w:rPr>
                <w:rFonts w:ascii="Arial" w:hAnsi="Arial"/>
                <w:bCs w:val="0"/>
                <w:szCs w:val="24"/>
                <w:lang w:val="en-GB"/>
              </w:rPr>
            </w:pPr>
            <w:r>
              <w:rPr>
                <w:lang w:val="de-DE"/>
              </w:rPr>
              <w:br w:type="page"/>
            </w:r>
            <w:r>
              <w:rPr>
                <w:rFonts w:ascii="Arial" w:hAnsi="Arial"/>
                <w:bCs w:val="0"/>
                <w:szCs w:val="24"/>
                <w:lang w:val="en-GB"/>
              </w:rPr>
              <w:t>Más información:</w:t>
            </w:r>
          </w:p>
          <w:p>
            <w:pPr>
              <w:spacing w:before="120" w:after="120" w:line="276" w:lineRule="auto"/>
              <w:rPr>
                <w:rFonts w:ascii="Arial" w:hAnsi="Arial" w:cs="Arial"/>
                <w:sz w:val="20"/>
                <w:lang w:val="en-GB"/>
              </w:rPr>
            </w:pPr>
            <w:r>
              <w:rPr>
                <w:rFonts w:ascii="Arial" w:hAnsi="Arial"/>
                <w:sz w:val="20"/>
                <w:lang w:val="en-GB"/>
              </w:rPr>
              <w:t>IQD Frequency Products Ltd</w:t>
            </w:r>
            <w:r>
              <w:rPr>
                <w:rFonts w:ascii="Arial" w:hAnsi="Arial"/>
                <w:sz w:val="20"/>
                <w:lang w:val="en-GB"/>
              </w:rPr>
              <w:br/>
              <w:t>Rebecca Long</w:t>
            </w:r>
            <w:r>
              <w:rPr>
                <w:rFonts w:ascii="Arial" w:hAnsi="Arial"/>
                <w:sz w:val="20"/>
                <w:lang w:val="en-GB"/>
              </w:rPr>
              <w:br/>
            </w:r>
            <w:r>
              <w:rPr>
                <w:rFonts w:ascii="Arial" w:hAnsi="Arial"/>
                <w:sz w:val="20"/>
                <w:szCs w:val="20"/>
                <w:lang w:val="en-GB"/>
              </w:rPr>
              <w:t>Station Road</w:t>
            </w:r>
            <w:r>
              <w:rPr>
                <w:rFonts w:ascii="Arial" w:hAnsi="Arial"/>
                <w:sz w:val="20"/>
                <w:szCs w:val="20"/>
                <w:lang w:val="en-GB"/>
              </w:rPr>
              <w:br/>
              <w:t>Crewkerne</w:t>
            </w:r>
            <w:r>
              <w:rPr>
                <w:rFonts w:ascii="Arial" w:hAnsi="Arial"/>
                <w:sz w:val="20"/>
                <w:szCs w:val="20"/>
                <w:lang w:val="en-GB"/>
              </w:rPr>
              <w:br/>
              <w:t>Somerset</w:t>
            </w:r>
            <w:r>
              <w:rPr>
                <w:rFonts w:ascii="Arial" w:hAnsi="Arial"/>
                <w:sz w:val="20"/>
                <w:szCs w:val="20"/>
                <w:lang w:val="en-GB"/>
              </w:rPr>
              <w:br/>
              <w:t>TA18 8AR</w:t>
            </w:r>
            <w:r>
              <w:rPr>
                <w:rFonts w:ascii="Arial" w:hAnsi="Arial"/>
                <w:sz w:val="20"/>
                <w:szCs w:val="20"/>
                <w:lang w:val="en-GB"/>
              </w:rPr>
              <w:br/>
              <w:t>Reino Unido</w:t>
            </w:r>
          </w:p>
          <w:p>
            <w:pPr>
              <w:spacing w:before="120" w:after="120" w:line="276" w:lineRule="auto"/>
              <w:rPr>
                <w:rFonts w:ascii="Arial" w:hAnsi="Arial" w:cs="Arial"/>
                <w:bCs/>
                <w:sz w:val="20"/>
              </w:rPr>
            </w:pPr>
            <w:r>
              <w:rPr>
                <w:rFonts w:ascii="Arial" w:hAnsi="Arial"/>
                <w:sz w:val="20"/>
              </w:rPr>
              <w:t>Tel.: +44 1460 270270</w:t>
            </w:r>
            <w:r>
              <w:rPr>
                <w:rFonts w:ascii="Arial" w:hAnsi="Arial"/>
                <w:sz w:val="20"/>
              </w:rPr>
              <w:br/>
              <w:t xml:space="preserve">Correo electrónico: </w:t>
            </w:r>
            <w:hyperlink r:id="rId10" w:history="1">
              <w:r>
                <w:rPr>
                  <w:rFonts w:ascii="Arial" w:hAnsi="Arial"/>
                  <w:bCs/>
                  <w:sz w:val="20"/>
                  <w:szCs w:val="20"/>
                </w:rPr>
                <w:t>rebecca.long@iqdfrequencyproducts.com</w:t>
              </w:r>
            </w:hyperlink>
          </w:p>
          <w:p>
            <w:pPr>
              <w:tabs>
                <w:tab w:val="left" w:pos="1065"/>
              </w:tabs>
              <w:spacing w:before="120" w:after="120" w:line="276" w:lineRule="auto"/>
              <w:rPr>
                <w:rFonts w:ascii="Arial" w:hAnsi="Arial" w:cs="Arial"/>
                <w:bCs/>
                <w:sz w:val="20"/>
                <w:szCs w:val="20"/>
              </w:rPr>
            </w:pPr>
            <w:r>
              <w:rPr>
                <w:rFonts w:ascii="Arial" w:hAnsi="Arial"/>
                <w:bCs/>
                <w:sz w:val="20"/>
              </w:rPr>
              <w:t>www.we-online.com</w:t>
            </w:r>
            <w:r>
              <w:rPr>
                <w:rFonts w:ascii="Arial" w:hAnsi="Arial"/>
                <w:bCs/>
                <w:sz w:val="20"/>
                <w:szCs w:val="20"/>
              </w:rPr>
              <w:br/>
            </w:r>
            <w:hyperlink r:id="rId11" w:history="1">
              <w:r>
                <w:rPr>
                  <w:rFonts w:ascii="Arial" w:hAnsi="Arial"/>
                  <w:sz w:val="20"/>
                  <w:szCs w:val="20"/>
                </w:rPr>
                <w:t>www.iqdfrequencyproducts.com</w:t>
              </w:r>
            </w:hyperlink>
          </w:p>
        </w:tc>
        <w:tc>
          <w:tcPr>
            <w:tcW w:w="3193" w:type="dxa"/>
            <w:shd w:val="clear" w:color="auto" w:fill="auto"/>
            <w:hideMark/>
          </w:tcPr>
          <w:p>
            <w:pPr>
              <w:pStyle w:val="Textkrper"/>
              <w:tabs>
                <w:tab w:val="left" w:pos="1065"/>
              </w:tabs>
              <w:autoSpaceDE/>
              <w:adjustRightInd/>
              <w:spacing w:before="120" w:after="120" w:line="276" w:lineRule="auto"/>
              <w:rPr>
                <w:rFonts w:ascii="Arial" w:hAnsi="Arial"/>
                <w:bCs w:val="0"/>
                <w:szCs w:val="24"/>
              </w:rPr>
            </w:pPr>
            <w:r>
              <w:rPr>
                <w:rFonts w:ascii="Arial" w:hAnsi="Arial"/>
              </w:rPr>
              <w:t>Contacto para la prensa:</w:t>
            </w:r>
          </w:p>
          <w:p>
            <w:pPr>
              <w:tabs>
                <w:tab w:val="left" w:pos="1065"/>
              </w:tabs>
              <w:spacing w:before="120" w:after="120" w:line="276" w:lineRule="auto"/>
              <w:rPr>
                <w:rFonts w:ascii="Arial" w:hAnsi="Arial" w:cs="Arial"/>
                <w:bCs/>
                <w:sz w:val="20"/>
                <w:lang w:val="en-US"/>
              </w:rPr>
            </w:pPr>
            <w:r>
              <w:rPr>
                <w:rFonts w:ascii="Arial" w:hAnsi="Arial"/>
                <w:sz w:val="20"/>
                <w:lang w:val="en-US"/>
              </w:rPr>
              <w:t>HighTech communications GmbH</w:t>
            </w:r>
            <w:r>
              <w:rPr>
                <w:lang w:val="en-US"/>
              </w:rPr>
              <w:br/>
            </w:r>
            <w:r>
              <w:rPr>
                <w:rFonts w:ascii="Arial" w:hAnsi="Arial"/>
                <w:sz w:val="20"/>
                <w:lang w:val="en-US"/>
              </w:rPr>
              <w:t>Brigitte Basilio</w:t>
            </w:r>
            <w:r>
              <w:rPr>
                <w:lang w:val="en-US"/>
              </w:rPr>
              <w:br/>
            </w:r>
            <w:r>
              <w:rPr>
                <w:rFonts w:ascii="Arial" w:hAnsi="Arial"/>
                <w:sz w:val="20"/>
                <w:lang w:val="en-US"/>
              </w:rPr>
              <w:t>Brunhamstrasse 21</w:t>
            </w:r>
            <w:r>
              <w:rPr>
                <w:lang w:val="en-US"/>
              </w:rPr>
              <w:br/>
            </w:r>
            <w:r>
              <w:rPr>
                <w:rFonts w:ascii="Arial" w:hAnsi="Arial"/>
                <w:sz w:val="20"/>
                <w:lang w:val="en-US"/>
              </w:rPr>
              <w:t>80339 München</w:t>
            </w:r>
            <w:r>
              <w:rPr>
                <w:rFonts w:ascii="Arial" w:hAnsi="Arial"/>
                <w:sz w:val="20"/>
                <w:lang w:val="en-US"/>
              </w:rPr>
              <w:br/>
              <w:t>Alemania</w:t>
            </w:r>
          </w:p>
          <w:p>
            <w:pPr>
              <w:tabs>
                <w:tab w:val="left" w:pos="1065"/>
              </w:tabs>
              <w:spacing w:before="120" w:after="120" w:line="276" w:lineRule="auto"/>
              <w:rPr>
                <w:rFonts w:ascii="Arial" w:hAnsi="Arial" w:cs="Arial"/>
                <w:bCs/>
                <w:sz w:val="20"/>
                <w:lang w:val="en-US"/>
              </w:rPr>
            </w:pPr>
            <w:r>
              <w:rPr>
                <w:rFonts w:ascii="Arial" w:hAnsi="Arial"/>
                <w:sz w:val="20"/>
                <w:lang w:val="en-US"/>
              </w:rPr>
              <w:t>Tel.: +49 89 500778-20</w:t>
            </w:r>
            <w:r>
              <w:rPr>
                <w:lang w:val="en-US"/>
              </w:rPr>
              <w:br/>
            </w:r>
            <w:r>
              <w:rPr>
                <w:rFonts w:ascii="Arial" w:hAnsi="Arial"/>
                <w:sz w:val="20"/>
                <w:lang w:val="en-US"/>
              </w:rPr>
              <w:t xml:space="preserve">Fax: +49 89 500778-77 </w:t>
            </w:r>
            <w:r>
              <w:rPr>
                <w:lang w:val="en-US"/>
              </w:rPr>
              <w:br/>
            </w:r>
            <w:r>
              <w:rPr>
                <w:rFonts w:ascii="Arial" w:hAnsi="Arial"/>
                <w:sz w:val="20"/>
                <w:lang w:val="en-US"/>
              </w:rPr>
              <w:t>Correo electrónico: b.basilio@htcm.de</w:t>
            </w:r>
          </w:p>
          <w:p>
            <w:pPr>
              <w:tabs>
                <w:tab w:val="left" w:pos="1065"/>
              </w:tabs>
              <w:spacing w:before="120" w:after="120" w:line="276" w:lineRule="auto"/>
              <w:rPr>
                <w:rFonts w:ascii="Arial" w:hAnsi="Arial" w:cs="Arial"/>
                <w:bCs/>
                <w:sz w:val="20"/>
              </w:rPr>
            </w:pPr>
            <w:r>
              <w:rPr>
                <w:rFonts w:ascii="Arial" w:hAnsi="Arial"/>
                <w:sz w:val="20"/>
              </w:rPr>
              <w:t>www.htcm.de</w:t>
            </w:r>
          </w:p>
        </w:tc>
      </w:tr>
    </w:tbl>
    <w:p>
      <w:pPr>
        <w:pStyle w:val="Textkrper"/>
        <w:spacing w:before="120" w:after="120" w:line="260" w:lineRule="exact"/>
        <w:jc w:val="both"/>
        <w:rPr>
          <w:rFonts w:ascii="Arial" w:hAnsi="Arial"/>
          <w:b w:val="0"/>
          <w:bCs w:val="0"/>
        </w:rPr>
      </w:pPr>
    </w:p>
    <w:sectPr>
      <w:headerReference w:type="default" r:id="rId12"/>
      <w:footerReference w:type="default" r:id="rId13"/>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 w:type="continuationNotice"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tabs>
        <w:tab w:val="clear" w:pos="4536"/>
        <w:tab w:val="clear" w:pos="9072"/>
        <w:tab w:val="right" w:pos="7088"/>
      </w:tabs>
      <w:rPr>
        <w:sz w:val="16"/>
        <w:szCs w:val="16"/>
      </w:rPr>
    </w:pPr>
    <w:r>
      <w:rPr>
        <w:rFonts w:ascii="Arial" w:hAnsi="Arial" w:cs="Arial"/>
        <w:snapToGrid w:val="0"/>
        <w:sz w:val="16"/>
      </w:rPr>
      <w:fldChar w:fldCharType="begin"/>
    </w:r>
    <w:r>
      <w:rPr>
        <w:rFonts w:ascii="Arial" w:hAnsi="Arial" w:cs="Arial"/>
        <w:snapToGrid w:val="0"/>
        <w:sz w:val="16"/>
      </w:rPr>
      <w:instrText xml:space="preserve"> FILENAME  \* MERGEFORMAT </w:instrText>
    </w:r>
    <w:r>
      <w:rPr>
        <w:rFonts w:ascii="Arial" w:hAnsi="Arial" w:cs="Arial"/>
        <w:snapToGrid w:val="0"/>
        <w:sz w:val="16"/>
      </w:rPr>
      <w:fldChar w:fldCharType="separate"/>
    </w:r>
    <w:r>
      <w:rPr>
        <w:rFonts w:ascii="Arial" w:hAnsi="Arial" w:cs="Arial"/>
        <w:noProof/>
        <w:snapToGrid w:val="0"/>
        <w:sz w:val="16"/>
      </w:rPr>
      <w:t>WTH1PI999.docx</w:t>
    </w:r>
    <w:r>
      <w:rPr>
        <w:rFonts w:ascii="Arial" w:hAnsi="Arial" w:cs="Arial"/>
        <w:snapToGrid w:val="0"/>
        <w:sz w:val="16"/>
      </w:rPr>
      <w:fldChar w:fldCharType="end"/>
    </w:r>
    <w:r>
      <w:rPr>
        <w:rFonts w:ascii="Arial" w:hAnsi="Arial"/>
        <w:snapToGrid w:val="0"/>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 w:type="continuationNotice" w:id="1">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Kopfzeile"/>
      <w:tabs>
        <w:tab w:val="clear" w:pos="9072"/>
        <w:tab w:val="right" w:pos="9498"/>
      </w:tabs>
    </w:pPr>
    <w:r>
      <w:rPr>
        <w:noProof/>
        <w:lang w:val="de-DE"/>
      </w:rPr>
      <w:drawing>
        <wp:anchor distT="0" distB="0" distL="114300" distR="114300" simplePos="0" relativeHeight="251658240" behindDoc="0" locked="0" layoutInCell="1" allowOverlap="1">
          <wp:simplePos x="0" y="0"/>
          <wp:positionH relativeFrom="column">
            <wp:posOffset>4681855</wp:posOffset>
          </wp:positionH>
          <wp:positionV relativeFrom="paragraph">
            <wp:posOffset>1272540</wp:posOffset>
          </wp:positionV>
          <wp:extent cx="1256665" cy="364490"/>
          <wp:effectExtent l="0" t="0" r="0" b="0"/>
          <wp:wrapNone/>
          <wp:docPr id="7" name="Bild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6665" cy="364490"/>
                  </a:xfrm>
                  <a:prstGeom prst="rect">
                    <a:avLst/>
                  </a:prstGeom>
                  <a:noFill/>
                </pic:spPr>
              </pic:pic>
            </a:graphicData>
          </a:graphic>
          <wp14:sizeRelH relativeFrom="page">
            <wp14:pctWidth>0</wp14:pctWidth>
          </wp14:sizeRelH>
          <wp14:sizeRelV relativeFrom="page">
            <wp14:pctHeight>0</wp14:pctHeight>
          </wp14:sizeRelV>
        </wp:anchor>
      </w:drawing>
    </w:r>
    <w:r>
      <w:rPr>
        <w:noProof/>
        <w:lang w:val="de-DE"/>
      </w:rPr>
      <w:drawing>
        <wp:anchor distT="0" distB="0" distL="114300" distR="114300" simplePos="0" relativeHeight="251657216" behindDoc="0" locked="0" layoutInCell="1" allowOverlap="1">
          <wp:simplePos x="0" y="0"/>
          <wp:positionH relativeFrom="column">
            <wp:posOffset>-52705</wp:posOffset>
          </wp:positionH>
          <wp:positionV relativeFrom="paragraph">
            <wp:posOffset>-97790</wp:posOffset>
          </wp:positionV>
          <wp:extent cx="6545580" cy="1080135"/>
          <wp:effectExtent l="0" t="0" r="0" b="0"/>
          <wp:wrapNone/>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45580" cy="108013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eastAsia="zh-CN"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chartTrackingRefBased/>
  <w15:docId w15:val="{F3125050-19DC-4D72-ACAD-0A652FF86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s-ES"/>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paragraph" w:customStyle="1" w:styleId="Ends">
    <w:name w:val="Ends"/>
    <w:basedOn w:val="Standard"/>
    <w:link w:val="EndsChar"/>
    <w:qFormat/>
    <w:pPr>
      <w:spacing w:after="240" w:line="288" w:lineRule="auto"/>
      <w:jc w:val="center"/>
    </w:pPr>
    <w:rPr>
      <w:rFonts w:ascii="Arial" w:eastAsia="Calibri" w:hAnsi="Arial" w:cs="Arial"/>
      <w:b/>
      <w:szCs w:val="22"/>
      <w:lang w:eastAsia="en-US"/>
    </w:rPr>
  </w:style>
  <w:style w:type="character" w:customStyle="1" w:styleId="EndsChar">
    <w:name w:val="Ends Char"/>
    <w:link w:val="Ends"/>
    <w:rPr>
      <w:rFonts w:ascii="Arial" w:eastAsia="Calibri" w:hAnsi="Arial" w:cs="Arial"/>
      <w:b/>
      <w:sz w:val="24"/>
      <w:szCs w:val="22"/>
      <w:lang w:val="es-ES" w:eastAsia="en-US"/>
    </w:rPr>
  </w:style>
  <w:style w:type="paragraph" w:customStyle="1" w:styleId="PressReleaseNotes">
    <w:name w:val="Press Release Notes"/>
    <w:basedOn w:val="Standard"/>
    <w:link w:val="PressReleaseNotesChar"/>
    <w:qFormat/>
    <w:pPr>
      <w:spacing w:after="120" w:line="288" w:lineRule="auto"/>
    </w:pPr>
    <w:rPr>
      <w:rFonts w:ascii="Arial" w:eastAsia="Calibri" w:hAnsi="Arial"/>
      <w:sz w:val="20"/>
      <w:szCs w:val="22"/>
      <w:lang w:eastAsia="en-US"/>
    </w:rPr>
  </w:style>
  <w:style w:type="paragraph" w:customStyle="1" w:styleId="PressReleaseNotesFurtherInformation">
    <w:name w:val="Press Release Notes/Further Information"/>
    <w:basedOn w:val="Standard"/>
    <w:qFormat/>
    <w:pPr>
      <w:spacing w:line="288" w:lineRule="auto"/>
    </w:pPr>
    <w:rPr>
      <w:rFonts w:ascii="Arial" w:eastAsia="Calibri" w:hAnsi="Arial"/>
      <w:b/>
      <w:sz w:val="20"/>
      <w:szCs w:val="22"/>
      <w:lang w:eastAsia="en-US"/>
    </w:rPr>
  </w:style>
  <w:style w:type="character" w:customStyle="1" w:styleId="PressReleaseNotesChar">
    <w:name w:val="Press Release Notes Char"/>
    <w:link w:val="PressReleaseNotes"/>
    <w:rPr>
      <w:rFonts w:ascii="Arial" w:eastAsia="Calibri" w:hAnsi="Arial"/>
      <w:szCs w:val="22"/>
      <w:lang w:val="es-ES" w:eastAsia="en-US"/>
    </w:rPr>
  </w:style>
  <w:style w:type="character" w:customStyle="1" w:styleId="KopfzeileZchn">
    <w:name w:val="Kopfzeile Zchn"/>
    <w:link w:val="Kopfzeile"/>
    <w:uiPriority w:val="99"/>
    <w:rPr>
      <w:sz w:val="24"/>
      <w:szCs w:val="24"/>
    </w:rPr>
  </w:style>
  <w:style w:type="character" w:customStyle="1" w:styleId="NichtaufgelsteErwhnung1">
    <w:name w:val="Nicht aufgelöste Erwähnung1"/>
    <w:basedOn w:val="Absatz-Standardschriftart"/>
    <w:uiPriority w:val="99"/>
    <w:semiHidden/>
    <w:unhideWhenUsed/>
    <w:rPr>
      <w:color w:val="605E5C"/>
      <w:shd w:val="clear" w:color="auto" w:fill="E1DFDD"/>
    </w:rPr>
  </w:style>
  <w:style w:type="character" w:styleId="BesuchterLink">
    <w:name w:val="FollowedHyperlink"/>
    <w:basedOn w:val="Absatz-Standardschriftart"/>
    <w:rPr>
      <w:color w:val="954F72" w:themeColor="followedHyperlink"/>
      <w:u w:val="single"/>
    </w:rPr>
  </w:style>
  <w:style w:type="character" w:customStyle="1" w:styleId="NichtaufgelsteErwhnung2">
    <w:name w:val="Nicht aufgelöste Erwähnung2"/>
    <w:basedOn w:val="Absatz-Standardschriftar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kk.htcm.de/press-releases/wuerth/"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iqdfrequencyproducts."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qdfrequencyproducts.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file:///\\hc-storage\kundenarchiv\W&#252;rth%20Elektronik%20eiSos\AppData\Local\Temp\rebecca.long@iqdfrequencyproducts.com"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673</Words>
  <Characters>4247</Characters>
  <Application>Microsoft Office Word</Application>
  <DocSecurity>0</DocSecurity>
  <Lines>35</Lines>
  <Paragraphs>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Pressemitteilung</vt:lpstr>
    </vt:vector>
  </TitlesOfParts>
  <Company/>
  <LinksUpToDate>false</LinksUpToDate>
  <CharactersWithSpaces>4911</CharactersWithSpaces>
  <SharedDoc>false</SharedDoc>
  <HLinks>
    <vt:vector size="18" baseType="variant">
      <vt:variant>
        <vt:i4>5439560</vt:i4>
      </vt:variant>
      <vt:variant>
        <vt:i4>6</vt:i4>
      </vt:variant>
      <vt:variant>
        <vt:i4>0</vt:i4>
      </vt:variant>
      <vt:variant>
        <vt:i4>5</vt:i4>
      </vt:variant>
      <vt:variant>
        <vt:lpwstr>http://www.iqdfrequencyproducts.com/</vt:lpwstr>
      </vt:variant>
      <vt:variant>
        <vt:lpwstr/>
      </vt:variant>
      <vt:variant>
        <vt:i4>2752600</vt:i4>
      </vt:variant>
      <vt:variant>
        <vt:i4>3</vt:i4>
      </vt:variant>
      <vt:variant>
        <vt:i4>0</vt:i4>
      </vt:variant>
      <vt:variant>
        <vt:i4>5</vt:i4>
      </vt:variant>
      <vt:variant>
        <vt:lpwstr>mailto:rebecca.long@iqdfrequencyproducts.com</vt:lpwstr>
      </vt:variant>
      <vt:variant>
        <vt:lpwstr/>
      </vt: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Rohleder, Daniela</dc:creator>
  <cp:keywords/>
  <cp:lastModifiedBy>Rohleder, Daniela</cp:lastModifiedBy>
  <cp:revision>2</cp:revision>
  <cp:lastPrinted>2016-02-04T10:10:00Z</cp:lastPrinted>
  <dcterms:created xsi:type="dcterms:W3CDTF">2022-03-10T07:42:00Z</dcterms:created>
  <dcterms:modified xsi:type="dcterms:W3CDTF">2022-03-10T07:42:00Z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