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COMMUNIQUÉ DE PRESSE</w:t>
      </w:r>
    </w:p>
    <w:p>
      <w:pPr>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étend sa série REDCUBE avec le filetage WP-SMRA à souder</w:t>
      </w:r>
    </w:p>
    <w:p>
      <w:pPr>
        <w:pStyle w:val="Kopfzeile"/>
        <w:tabs>
          <w:tab w:val="clear" w:pos="4536"/>
          <w:tab w:val="clear" w:pos="9072"/>
        </w:tabs>
        <w:spacing w:before="360" w:after="360"/>
        <w:rPr>
          <w:rFonts w:ascii="Arial" w:hAnsi="Arial" w:cs="Arial"/>
          <w:b/>
          <w:bCs/>
          <w:sz w:val="36"/>
        </w:rPr>
      </w:pPr>
      <w:r>
        <w:rPr>
          <w:rFonts w:ascii="Arial" w:hAnsi="Arial"/>
          <w:b/>
          <w:color w:val="000000"/>
          <w:sz w:val="36"/>
        </w:rPr>
        <w:t>Connecteur à 90° pour une application USB importante</w:t>
      </w:r>
    </w:p>
    <w:p>
      <w:pPr>
        <w:pStyle w:val="Textkrper"/>
        <w:spacing w:before="120" w:after="120" w:line="260" w:lineRule="exact"/>
        <w:jc w:val="both"/>
        <w:rPr>
          <w:rFonts w:ascii="Arial" w:hAnsi="Arial"/>
          <w:color w:val="000000"/>
        </w:rPr>
      </w:pPr>
      <w:r>
        <w:rPr>
          <w:rFonts w:ascii="Arial" w:hAnsi="Arial"/>
        </w:rPr>
        <w:t xml:space="preserve">Waldenburg (Allemagne), le 28 octobre 2021 —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propose désormais les nouveaux raccords soudables fil à fil et carte à carte WP-SMRA pour l’assemblage à 90° sur les faces avant, les boîtiers, les circuits imprimés ou les connexions de câbles.</w:t>
      </w:r>
      <w:r>
        <w:rPr>
          <w:rFonts w:ascii="Arial" w:hAnsi="Arial"/>
          <w:color w:val="000000"/>
        </w:rPr>
        <w:t xml:space="preserve"> Les WP-SMRA sont des contacts à courant élevé principalement destinés à l’assemblage automatisé dans la série REDCUBE. La version avec filetage M2 est destinée à une application spéciale : Combiné aux prises </w:t>
      </w:r>
      <w:hyperlink r:id="rId8" w:history="1">
        <w:r>
          <w:rPr>
            <w:rStyle w:val="Hyperlink"/>
            <w:rFonts w:ascii="Arial" w:hAnsi="Arial"/>
          </w:rPr>
          <w:t>USB de type C</w:t>
        </w:r>
      </w:hyperlink>
      <w:r>
        <w:rPr>
          <w:rFonts w:ascii="Arial" w:hAnsi="Arial"/>
          <w:color w:val="000000"/>
        </w:rPr>
        <w:t xml:space="preserve"> de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elle accepte les connecteurs USB à verrouillage à vis utilisés et appréciés pour leur connexion plus fiable dans de nombreuses applications industrielles.</w:t>
      </w:r>
    </w:p>
    <w:p>
      <w:pPr>
        <w:pStyle w:val="Textkrper"/>
        <w:spacing w:before="120" w:after="120" w:line="260" w:lineRule="exact"/>
        <w:jc w:val="both"/>
        <w:rPr>
          <w:rFonts w:ascii="Arial" w:hAnsi="Arial"/>
          <w:b w:val="0"/>
          <w:bCs w:val="0"/>
          <w:color w:val="000000"/>
        </w:rPr>
      </w:pPr>
      <w:r>
        <w:rPr>
          <w:rFonts w:ascii="Arial" w:hAnsi="Arial"/>
          <w:b w:val="0"/>
          <w:color w:val="000000"/>
        </w:rPr>
        <w:t xml:space="preserve">Les connecteurs sécurisés de manière fiable par des vis contre une déconnexion involontaire font leur retour dans les applications industrielles avec le connecteur USB type-C. La version M2 du connecteur à montage CMS WP-SMRA de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offre aux développeurs une solution facile à mettre en œuvre ainsi qu’un </w:t>
      </w:r>
      <w:hyperlink r:id="rId9" w:history="1">
        <w:proofErr w:type="spellStart"/>
        <w:r>
          <w:rPr>
            <w:rStyle w:val="Hyperlink"/>
            <w:rFonts w:ascii="Arial" w:hAnsi="Arial"/>
            <w:b w:val="0"/>
          </w:rPr>
          <w:t>reference</w:t>
        </w:r>
        <w:proofErr w:type="spellEnd"/>
        <w:r>
          <w:rPr>
            <w:rStyle w:val="Hyperlink"/>
            <w:rFonts w:ascii="Arial" w:hAnsi="Arial"/>
            <w:b w:val="0"/>
          </w:rPr>
          <w:t xml:space="preserve"> design</w:t>
        </w:r>
      </w:hyperlink>
      <w:r>
        <w:rPr>
          <w:rFonts w:ascii="Arial" w:hAnsi="Arial"/>
          <w:b w:val="0"/>
          <w:color w:val="000000"/>
        </w:rPr>
        <w:t>.</w:t>
      </w:r>
    </w:p>
    <w:p>
      <w:pPr>
        <w:pStyle w:val="Textkrper"/>
        <w:spacing w:before="120" w:after="120" w:line="260" w:lineRule="exact"/>
        <w:jc w:val="both"/>
        <w:rPr>
          <w:rFonts w:ascii="Arial" w:hAnsi="Arial"/>
          <w:b w:val="0"/>
          <w:bCs w:val="0"/>
        </w:rPr>
      </w:pPr>
      <w:r>
        <w:rPr>
          <w:rFonts w:ascii="Arial" w:hAnsi="Arial"/>
          <w:b w:val="0"/>
          <w:color w:val="000000"/>
        </w:rPr>
        <w:t xml:space="preserve">La WP-SMRA est maintenant disponible en stock sans quantité minimum de commande.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fournit aux développeurs des échantillons gratuits sur demande.</w:t>
      </w:r>
    </w:p>
    <w:p>
      <w:pPr>
        <w:pBdr>
          <w:bottom w:val="single" w:sz="6" w:space="1" w:color="auto"/>
        </w:pBdr>
        <w:spacing w:after="120" w:line="280" w:lineRule="exact"/>
        <w:jc w:val="both"/>
        <w:rPr>
          <w:rFonts w:ascii="Arial" w:hAnsi="Arial" w:cs="Arial"/>
          <w:sz w:val="20"/>
          <w:szCs w:val="20"/>
        </w:rPr>
      </w:pPr>
    </w:p>
    <w:p>
      <w:pPr>
        <w:pBdr>
          <w:bottom w:val="single" w:sz="6" w:space="1" w:color="auto"/>
        </w:pBdr>
        <w:spacing w:after="120" w:line="280" w:lineRule="exact"/>
        <w:jc w:val="both"/>
        <w:rPr>
          <w:rFonts w:ascii="Arial" w:hAnsi="Arial" w:cs="Arial"/>
          <w:sz w:val="20"/>
          <w:szCs w:val="20"/>
        </w:rPr>
      </w:pPr>
    </w:p>
    <w:p>
      <w:pPr>
        <w:spacing w:after="120" w:line="280" w:lineRule="exact"/>
        <w:rPr>
          <w:rFonts w:ascii="Arial" w:hAnsi="Arial"/>
          <w:b/>
          <w:sz w:val="18"/>
        </w:rPr>
      </w:pPr>
    </w:p>
    <w:p>
      <w:pPr>
        <w:spacing w:after="120" w:line="280" w:lineRule="exact"/>
        <w:rPr>
          <w:rFonts w:ascii="Arial" w:hAnsi="Arial" w:cs="Arial"/>
          <w:b/>
          <w:bCs/>
          <w:sz w:val="18"/>
          <w:szCs w:val="18"/>
        </w:rPr>
      </w:pPr>
      <w:r>
        <w:rPr>
          <w:rFonts w:ascii="Arial" w:hAnsi="Arial"/>
          <w:b/>
          <w:sz w:val="18"/>
        </w:rPr>
        <w:t>Images disponibles</w:t>
      </w:r>
    </w:p>
    <w:p>
      <w:pPr>
        <w:spacing w:after="120" w:line="280" w:lineRule="exact"/>
        <w:rPr>
          <w:rStyle w:val="Hyperlink"/>
          <w:rFonts w:ascii="Arial" w:hAnsi="Arial" w:cs="Arial"/>
          <w:sz w:val="18"/>
          <w:szCs w:val="18"/>
          <w:lang w:val="en-US"/>
        </w:rPr>
      </w:pPr>
      <w:r>
        <w:rPr>
          <w:rFonts w:ascii="Arial" w:hAnsi="Arial"/>
          <w:sz w:val="18"/>
        </w:rPr>
        <w:t>Les images suivantes peuvent être téléchargées sur Internet pour impression :</w:t>
      </w:r>
      <w:r>
        <w:t xml:space="preserve"> </w:t>
      </w:r>
      <w:hyperlink r:id="rId10" w:history="1">
        <w:r>
          <w:rPr>
            <w:rStyle w:val="Hyperlink"/>
            <w:rFonts w:ascii="Arial" w:hAnsi="Arial" w:cs="Arial"/>
            <w:sz w:val="18"/>
            <w:szCs w:val="18"/>
            <w:lang w:val="en-US"/>
          </w:rPr>
          <w:t>https://kk.htcm.de/press-releases/wuerth/</w:t>
        </w:r>
      </w:hyperlink>
    </w:p>
    <w:p>
      <w:pPr>
        <w:rPr>
          <w:rStyle w:val="Hyperlink"/>
          <w:rFonts w:ascii="Arial" w:hAnsi="Arial"/>
          <w:color w:val="auto"/>
          <w:sz w:val="18"/>
        </w:rPr>
      </w:pPr>
      <w:r>
        <w:rPr>
          <w:rStyle w:val="Hyperlink"/>
          <w:rFonts w:ascii="Arial" w:hAnsi="Arial" w:cs="Arial"/>
          <w:sz w:val="18"/>
          <w:szCs w:val="18"/>
          <w:lang w:val="en-US"/>
        </w:rPr>
        <w:br w:type="page"/>
      </w: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bCs/>
                <w:sz w:val="16"/>
                <w:szCs w:val="16"/>
              </w:rPr>
            </w:pPr>
            <w:r>
              <w:rPr>
                <w:b/>
              </w:rPr>
              <w:lastRenderedPageBreak/>
              <w:br/>
            </w:r>
            <w:r>
              <w:rPr>
                <w:b/>
              </w:rPr>
              <w:br/>
            </w:r>
            <w:r>
              <w:rPr>
                <w:noProof/>
                <w:lang w:val="de-DE"/>
              </w:rPr>
              <w:drawing>
                <wp:inline distT="0" distB="0" distL="0" distR="0">
                  <wp:extent cx="2139950" cy="9055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905510"/>
                          </a:xfrm>
                          <a:prstGeom prst="rect">
                            <a:avLst/>
                          </a:prstGeom>
                          <a:noFill/>
                          <a:ln>
                            <a:noFill/>
                          </a:ln>
                        </pic:spPr>
                      </pic:pic>
                    </a:graphicData>
                  </a:graphic>
                </wp:inline>
              </w:drawing>
            </w:r>
            <w:r>
              <w:rPr>
                <w:b/>
                <w:sz w:val="18"/>
              </w:rPr>
              <w:br/>
            </w:r>
            <w:r>
              <w:rPr>
                <w:sz w:val="16"/>
              </w:rPr>
              <w:br/>
              <w:t xml:space="preserve">Source :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pPr>
              <w:autoSpaceDE w:val="0"/>
              <w:autoSpaceDN w:val="0"/>
              <w:adjustRightInd w:val="0"/>
              <w:rPr>
                <w:rFonts w:ascii="Arial" w:hAnsi="Arial" w:cs="Arial"/>
                <w:b/>
                <w:bCs/>
                <w:sz w:val="18"/>
                <w:szCs w:val="18"/>
              </w:rPr>
            </w:pPr>
            <w:r>
              <w:rPr>
                <w:rFonts w:ascii="Arial" w:hAnsi="Arial"/>
                <w:b/>
                <w:sz w:val="18"/>
              </w:rPr>
              <w:t xml:space="preserve">Connexion latérale à deux vis pour câble USB-C. </w:t>
            </w:r>
          </w:p>
        </w:tc>
        <w:tc>
          <w:tcPr>
            <w:tcW w:w="3510" w:type="dxa"/>
          </w:tcPr>
          <w:p>
            <w:pPr>
              <w:pStyle w:val="txt"/>
              <w:rPr>
                <w:bCs/>
                <w:sz w:val="16"/>
                <w:szCs w:val="16"/>
              </w:rPr>
            </w:pPr>
            <w:r>
              <w:br/>
            </w:r>
            <w:r>
              <w:br/>
            </w:r>
            <w:r>
              <w:rPr>
                <w:noProof/>
                <w:lang w:val="de-DE"/>
              </w:rPr>
              <w:drawing>
                <wp:inline distT="0" distB="0" distL="0" distR="0">
                  <wp:extent cx="2139950" cy="7715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771525"/>
                          </a:xfrm>
                          <a:prstGeom prst="rect">
                            <a:avLst/>
                          </a:prstGeom>
                          <a:noFill/>
                          <a:ln>
                            <a:noFill/>
                          </a:ln>
                        </pic:spPr>
                      </pic:pic>
                    </a:graphicData>
                  </a:graphic>
                </wp:inline>
              </w:drawing>
            </w:r>
            <w:r>
              <w:rPr>
                <w:b/>
              </w:rPr>
              <w:br/>
            </w:r>
            <w:r>
              <w:rPr>
                <w:sz w:val="16"/>
              </w:rPr>
              <w:br/>
            </w:r>
            <w:r>
              <w:rPr>
                <w:sz w:val="16"/>
              </w:rPr>
              <w:br/>
              <w:t xml:space="preserve">Source :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pPr>
              <w:autoSpaceDE w:val="0"/>
              <w:autoSpaceDN w:val="0"/>
              <w:adjustRightInd w:val="0"/>
              <w:rPr>
                <w:b/>
              </w:rPr>
            </w:pPr>
            <w:r>
              <w:rPr>
                <w:rFonts w:ascii="Arial" w:hAnsi="Arial"/>
                <w:b/>
                <w:sz w:val="18"/>
              </w:rPr>
              <w:t>Connexion centrale à une vis pour câble USB-C. Les WP-SMRA sont disponibles pour les PCB de 1,0 mm et 1,6 mm d’épaisseur.</w:t>
            </w:r>
            <w:r>
              <w:rPr>
                <w:rFonts w:ascii="Arial" w:hAnsi="Arial"/>
                <w:b/>
                <w:sz w:val="18"/>
              </w:rPr>
              <w:br/>
              <w:t xml:space="preserve"> </w:t>
            </w:r>
          </w:p>
        </w:tc>
      </w:tr>
    </w:tbl>
    <w:p>
      <w:pPr>
        <w:pStyle w:val="PITextkrper"/>
        <w:rPr>
          <w:b/>
          <w:bCs/>
          <w:sz w:val="18"/>
          <w:szCs w:val="18"/>
          <w:lang w:val="de-DE"/>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rPr>
          <w:rFonts w:ascii="Arial" w:hAnsi="Arial"/>
        </w:rPr>
      </w:pPr>
      <w:r>
        <w:rPr>
          <w:rFonts w:ascii="Arial" w:hAnsi="Arial"/>
        </w:rPr>
        <w:t xml:space="preserve">À propos du groupe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pPr>
        <w:pStyle w:val="Textkrper"/>
        <w:spacing w:before="120" w:after="120" w:line="276" w:lineRule="auto"/>
        <w:jc w:val="both"/>
        <w:rPr>
          <w:rFonts w:ascii="Arial" w:hAnsi="Arial"/>
          <w:b w:val="0"/>
        </w:rPr>
      </w:pPr>
      <w:bookmarkStart w:id="1" w:name="_Hlk529547556"/>
      <w:r>
        <w:rPr>
          <w:rFonts w:ascii="Arial" w:hAnsi="Arial"/>
          <w:b w:val="0"/>
        </w:rPr>
        <w:t xml:space="preserve">Le groupe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pPr>
        <w:pStyle w:val="Textkrper"/>
        <w:spacing w:before="120" w:after="120" w:line="276" w:lineRule="auto"/>
        <w:jc w:val="both"/>
        <w:rPr>
          <w:rFonts w:ascii="Arial" w:hAnsi="Arial"/>
          <w:b w:val="0"/>
        </w:rPr>
      </w:pPr>
      <w:r>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Pr>
          <w:rFonts w:ascii="Arial" w:hAnsi="Arial"/>
          <w:b w:val="0"/>
        </w:rPr>
        <w:t>switchs</w:t>
      </w:r>
      <w:proofErr w:type="spellEnd"/>
      <w:r>
        <w:rPr>
          <w:rFonts w:ascii="Arial" w:hAnsi="Arial"/>
          <w:b w:val="0"/>
        </w:rPr>
        <w:t xml:space="preserve">, </w:t>
      </w:r>
      <w:proofErr w:type="spellStart"/>
      <w:r>
        <w:rPr>
          <w:rFonts w:ascii="Arial" w:hAnsi="Arial"/>
          <w:b w:val="0"/>
        </w:rPr>
        <w:t>boutons-poussoirs</w:t>
      </w:r>
      <w:proofErr w:type="spellEnd"/>
      <w:r>
        <w:rPr>
          <w:rFonts w:ascii="Arial" w:hAnsi="Arial"/>
          <w:b w:val="0"/>
        </w:rPr>
        <w:t>, plots de connexion de puissance, porte-fusibles, capteurs et solutions pour la transmission de données sans fils.</w:t>
      </w:r>
    </w:p>
    <w:p>
      <w:pPr>
        <w:pStyle w:val="Textkrper"/>
        <w:spacing w:before="120" w:after="120" w:line="276" w:lineRule="auto"/>
        <w:jc w:val="both"/>
        <w:rPr>
          <w:rFonts w:ascii="Arial" w:hAnsi="Arial"/>
          <w:b w:val="0"/>
        </w:rPr>
      </w:pPr>
      <w:r>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fait partie du groupe Würth, leader mondial sur le marché des techniques d'assemblage et de fixation. La société emploie 7300 personnes et a réalisé un chiffre d'affaires de 823 millions d'euros en 2020.</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w:t>
      </w:r>
    </w:p>
    <w:p>
      <w:pPr>
        <w:pStyle w:val="Textkrper"/>
        <w:spacing w:before="120" w:after="120" w:line="276" w:lineRule="auto"/>
      </w:pPr>
      <w:r>
        <w:rPr>
          <w:rFonts w:ascii="Arial" w:hAnsi="Arial"/>
        </w:rPr>
        <w:t>Plus amples informations sur le site www.we-online.com</w:t>
      </w:r>
    </w:p>
    <w:p>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b w:val="0"/>
                <w:bCs w:val="0"/>
              </w:rPr>
            </w:pPr>
            <w:r>
              <w:lastRenderedPageBreak/>
              <w:br w:type="page"/>
            </w:r>
            <w:r>
              <w:rPr>
                <w:b w:val="0"/>
                <w:bCs w:val="0"/>
              </w:rPr>
              <w:br w:type="page"/>
            </w:r>
          </w:p>
          <w:p>
            <w:pPr>
              <w:pStyle w:val="Textkrper"/>
              <w:autoSpaceDE/>
              <w:adjustRightInd/>
              <w:spacing w:before="120" w:after="120" w:line="276" w:lineRule="auto"/>
              <w:rPr>
                <w:rFonts w:ascii="Arial" w:hAnsi="Arial"/>
                <w:bCs w:val="0"/>
                <w:szCs w:val="24"/>
              </w:rPr>
            </w:pPr>
            <w:r>
              <w:rPr>
                <w:rFonts w:ascii="Arial" w:hAnsi="Arial"/>
              </w:rPr>
              <w:t>Autres informations :</w:t>
            </w:r>
          </w:p>
          <w:p>
            <w:pPr>
              <w:spacing w:before="120" w:after="120" w:line="276" w:lineRule="auto"/>
              <w:rPr>
                <w:rFonts w:ascii="Arial" w:hAnsi="Arial" w:cs="Arial"/>
                <w:sz w:val="20"/>
              </w:rPr>
            </w:pPr>
            <w:proofErr w:type="spellStart"/>
            <w:r>
              <w:rPr>
                <w:rFonts w:ascii="Arial" w:hAnsi="Arial" w:cs="Arial"/>
                <w:sz w:val="20"/>
              </w:rPr>
              <w:t>Würth</w:t>
            </w:r>
            <w:proofErr w:type="spellEnd"/>
            <w:r>
              <w:rPr>
                <w:rFonts w:ascii="Arial" w:hAnsi="Arial" w:cs="Arial"/>
                <w:sz w:val="20"/>
              </w:rPr>
              <w:t xml:space="preserve"> </w:t>
            </w:r>
            <w:proofErr w:type="spellStart"/>
            <w:r>
              <w:rPr>
                <w:rFonts w:ascii="Arial" w:hAnsi="Arial" w:cs="Arial"/>
                <w:sz w:val="20"/>
              </w:rPr>
              <w:t>Elektronik</w:t>
            </w:r>
            <w:proofErr w:type="spellEnd"/>
            <w:r>
              <w:rPr>
                <w:rFonts w:ascii="Arial" w:hAnsi="Arial" w:cs="Arial"/>
                <w:sz w:val="20"/>
              </w:rPr>
              <w:t xml:space="preserve"> France</w:t>
            </w:r>
            <w:r>
              <w:rPr>
                <w:rFonts w:ascii="Arial" w:hAnsi="Arial" w:cs="Arial"/>
                <w:sz w:val="20"/>
              </w:rPr>
              <w:br/>
              <w:t>Christophe Blanc</w:t>
            </w:r>
            <w:r>
              <w:rPr>
                <w:rFonts w:ascii="Arial" w:hAnsi="Arial" w:cs="Arial"/>
                <w:sz w:val="20"/>
              </w:rPr>
              <w:br/>
              <w:t>1861, Avenue Henri Schneider</w:t>
            </w:r>
            <w:r>
              <w:rPr>
                <w:rFonts w:ascii="Arial" w:hAnsi="Arial" w:cs="Arial"/>
                <w:sz w:val="20"/>
              </w:rPr>
              <w:br/>
              <w:t>CS 70029</w:t>
            </w:r>
            <w:r>
              <w:rPr>
                <w:rFonts w:ascii="Arial" w:hAnsi="Arial" w:cs="Arial"/>
                <w:sz w:val="20"/>
              </w:rPr>
              <w:br/>
              <w:t>69881 Meyzieu Cedex</w:t>
            </w:r>
            <w:r>
              <w:rPr>
                <w:rFonts w:ascii="Arial" w:hAnsi="Arial" w:cs="Arial"/>
                <w:sz w:val="20"/>
              </w:rPr>
              <w:br/>
              <w:t>France</w:t>
            </w:r>
          </w:p>
          <w:p>
            <w:pPr>
              <w:spacing w:before="120" w:after="120" w:line="276" w:lineRule="auto"/>
              <w:rPr>
                <w:rFonts w:ascii="Arial" w:hAnsi="Arial" w:cs="Arial"/>
                <w:sz w:val="20"/>
              </w:rPr>
            </w:pPr>
            <w:r>
              <w:rPr>
                <w:rFonts w:ascii="Arial" w:hAnsi="Arial" w:cs="Arial"/>
                <w:sz w:val="20"/>
              </w:rPr>
              <w:t>Mob : +33 6 74 97 50 21</w:t>
            </w:r>
            <w:r>
              <w:rPr>
                <w:rFonts w:ascii="Arial" w:hAnsi="Arial" w:cs="Arial"/>
                <w:sz w:val="20"/>
              </w:rPr>
              <w:br/>
            </w:r>
            <w:r>
              <w:rPr>
                <w:rFonts w:ascii="Arial" w:hAnsi="Arial" w:cs="Arial"/>
                <w:bCs/>
                <w:sz w:val="20"/>
              </w:rPr>
              <w:t xml:space="preserve">Courriel : </w:t>
            </w:r>
            <w:r>
              <w:rPr>
                <w:rFonts w:ascii="Arial" w:hAnsi="Arial" w:cs="Arial"/>
                <w:bCs/>
                <w:sz w:val="20"/>
              </w:rPr>
              <w:br/>
              <w:t>christophe.blanc@we-online.com</w:t>
            </w:r>
          </w:p>
          <w:p>
            <w:pPr>
              <w:spacing w:before="120" w:after="120" w:line="276" w:lineRule="auto"/>
              <w:rPr>
                <w:rFonts w:ascii="Arial" w:hAnsi="Arial" w:cs="Arial"/>
                <w:bCs/>
                <w:sz w:val="20"/>
              </w:rPr>
            </w:pPr>
            <w:r>
              <w:rPr>
                <w:rFonts w:ascii="Arial" w:hAnsi="Arial" w:cs="Arial"/>
                <w:bCs/>
                <w:sz w:val="20"/>
              </w:rPr>
              <w:t>www.we-online.com</w:t>
            </w:r>
          </w:p>
          <w:p>
            <w:pPr>
              <w:rPr>
                <w:rFonts w:ascii="Arial" w:hAnsi="Arial" w:cs="Arial"/>
                <w:sz w:val="20"/>
              </w:rPr>
            </w:pPr>
          </w:p>
          <w:p>
            <w:pPr>
              <w:rPr>
                <w:rFonts w:ascii="Arial" w:hAnsi="Arial" w:cs="Arial"/>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rPr>
            </w:pPr>
          </w:p>
          <w:p>
            <w:pPr>
              <w:pStyle w:val="Textkrper"/>
              <w:tabs>
                <w:tab w:val="left" w:pos="1065"/>
              </w:tabs>
              <w:autoSpaceDE/>
              <w:adjustRightInd/>
              <w:spacing w:before="120" w:after="120" w:line="276" w:lineRule="auto"/>
              <w:rPr>
                <w:rFonts w:ascii="Arial" w:hAnsi="Arial"/>
                <w:bCs w:val="0"/>
                <w:szCs w:val="24"/>
              </w:rPr>
            </w:pPr>
            <w:r>
              <w:rPr>
                <w:rFonts w:ascii="Arial" w:hAnsi="Arial"/>
              </w:rPr>
              <w:t>Contact presse :</w:t>
            </w:r>
          </w:p>
          <w:p>
            <w:pPr>
              <w:tabs>
                <w:tab w:val="left" w:pos="1065"/>
              </w:tabs>
              <w:spacing w:before="120" w:after="120" w:line="276" w:lineRule="auto"/>
              <w:rPr>
                <w:rFonts w:ascii="Arial" w:hAnsi="Arial" w:cs="Arial"/>
                <w:bCs/>
                <w:sz w:val="20"/>
              </w:rPr>
            </w:pPr>
            <w:proofErr w:type="spellStart"/>
            <w:r>
              <w:rPr>
                <w:rFonts w:ascii="Arial" w:hAnsi="Arial"/>
                <w:sz w:val="20"/>
              </w:rPr>
              <w:t>HighTech</w:t>
            </w:r>
            <w:proofErr w:type="spellEnd"/>
            <w:r>
              <w:rPr>
                <w:rFonts w:ascii="Arial" w:hAnsi="Arial"/>
                <w:sz w:val="20"/>
              </w:rPr>
              <w:t xml:space="preserve"> communications </w:t>
            </w:r>
            <w:proofErr w:type="spellStart"/>
            <w:r>
              <w:rPr>
                <w:rFonts w:ascii="Arial" w:hAnsi="Arial"/>
                <w:sz w:val="20"/>
              </w:rPr>
              <w:t>GmbH</w:t>
            </w:r>
            <w:proofErr w:type="spellEnd"/>
            <w:r>
              <w:br/>
            </w:r>
            <w:r>
              <w:rPr>
                <w:rFonts w:ascii="Arial" w:hAnsi="Arial"/>
                <w:sz w:val="20"/>
              </w:rPr>
              <w:t>Brigitte Basilio</w:t>
            </w:r>
            <w:r>
              <w:br/>
            </w:r>
            <w:proofErr w:type="spellStart"/>
            <w:r>
              <w:rPr>
                <w:rFonts w:ascii="Arial" w:hAnsi="Arial"/>
                <w:sz w:val="20"/>
              </w:rPr>
              <w:t>Brunhamstrasse</w:t>
            </w:r>
            <w:proofErr w:type="spellEnd"/>
            <w:r>
              <w:rPr>
                <w:rFonts w:ascii="Arial" w:hAnsi="Arial"/>
                <w:sz w:val="20"/>
              </w:rPr>
              <w:t xml:space="preserve"> 21</w:t>
            </w:r>
            <w:r>
              <w:br/>
            </w:r>
            <w:r>
              <w:rPr>
                <w:rFonts w:ascii="Arial" w:hAnsi="Arial"/>
                <w:sz w:val="20"/>
              </w:rPr>
              <w:t xml:space="preserve">81249 </w:t>
            </w:r>
            <w:proofErr w:type="spellStart"/>
            <w:r>
              <w:rPr>
                <w:rFonts w:ascii="Arial" w:hAnsi="Arial"/>
                <w:sz w:val="20"/>
              </w:rPr>
              <w:t>München</w:t>
            </w:r>
            <w:proofErr w:type="spellEnd"/>
            <w:r>
              <w:rPr>
                <w:rFonts w:ascii="Arial" w:hAnsi="Arial"/>
                <w:sz w:val="20"/>
              </w:rPr>
              <w:br/>
              <w:t>Allemagne</w:t>
            </w:r>
          </w:p>
          <w:p>
            <w:pPr>
              <w:tabs>
                <w:tab w:val="left" w:pos="1065"/>
              </w:tabs>
              <w:spacing w:before="120" w:after="120" w:line="276" w:lineRule="auto"/>
              <w:rPr>
                <w:rFonts w:ascii="Arial" w:hAnsi="Arial" w:cs="Arial"/>
                <w:bCs/>
                <w:sz w:val="20"/>
              </w:rPr>
            </w:pPr>
            <w:r>
              <w:rPr>
                <w:rFonts w:ascii="Arial" w:hAnsi="Arial"/>
                <w:sz w:val="20"/>
              </w:rPr>
              <w:t>Tél : +49 89 500778-20</w:t>
            </w:r>
            <w:r>
              <w:br/>
            </w:r>
            <w:r>
              <w:rPr>
                <w:rFonts w:ascii="Arial" w:hAnsi="Arial"/>
                <w:sz w:val="20"/>
              </w:rPr>
              <w:t xml:space="preserve">Fax : +49 89 500778-77 </w:t>
            </w:r>
            <w:r>
              <w:br/>
            </w:r>
            <w:r>
              <w:rPr>
                <w:rFonts w:ascii="Arial" w:hAnsi="Arial"/>
                <w:sz w:val="20"/>
              </w:rPr>
              <w:t>Courriel :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tbl>
    <w:p>
      <w:pPr>
        <w:pStyle w:val="Textkrper"/>
        <w:spacing w:before="120" w:after="120" w:line="276" w:lineRule="auto"/>
      </w:pPr>
    </w:p>
    <w:p>
      <w:pPr>
        <w:pStyle w:val="PITextkrper"/>
        <w:rPr>
          <w:b/>
          <w:bCs/>
          <w:sz w:val="18"/>
          <w:szCs w:val="18"/>
          <w:lang w:val="de-DE"/>
        </w:rPr>
      </w:pPr>
    </w:p>
    <w:sectPr>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WTH1PI920.docx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COM_3_1_THR_SMT_TYPE_C_RECEPTACLE_HORIZONT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media/o563289v410%20ANE009a_EN.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AB276-B499-4FD2-B20D-EF794EE8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3372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2022-03-10T12:10:00Z</dcterms:created>
  <dcterms:modified xsi:type="dcterms:W3CDTF">2022-03-10T12:10:00Z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