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 xml:space="preserve">Würth Elektronik amplía la serie REDCUBE de los separadores de montaje superficial WP-SMRA </w:t>
      </w:r>
    </w:p>
    <w:p>
      <w:pPr>
        <w:pStyle w:val="Kopfzeile"/>
        <w:tabs>
          <w:tab w:val="clear" w:pos="4536"/>
          <w:tab w:val="clear" w:pos="9072"/>
        </w:tabs>
        <w:spacing w:before="360" w:after="360"/>
        <w:rPr>
          <w:rFonts w:ascii="Arial" w:hAnsi="Arial" w:cs="Arial"/>
          <w:b/>
          <w:bCs/>
          <w:sz w:val="36"/>
        </w:rPr>
      </w:pPr>
      <w:r>
        <w:rPr>
          <w:rFonts w:ascii="Arial" w:hAnsi="Arial"/>
          <w:b/>
          <w:sz w:val="36"/>
        </w:rPr>
        <w:t>Separadores de 90° para aplicaciones USB C</w:t>
      </w:r>
    </w:p>
    <w:p>
      <w:pPr>
        <w:pStyle w:val="Textkrper"/>
        <w:spacing w:before="120" w:after="120" w:line="260" w:lineRule="exact"/>
        <w:jc w:val="both"/>
        <w:rPr>
          <w:rFonts w:ascii="Arial" w:hAnsi="Arial"/>
          <w:color w:val="000000"/>
        </w:rPr>
      </w:pPr>
      <w:r>
        <w:rPr>
          <w:rFonts w:ascii="Arial" w:hAnsi="Arial"/>
          <w:color w:val="000000"/>
        </w:rPr>
        <w:t xml:space="preserve">Waldenburg (Alemania), 28 de octubre de 2021 – Gracias al conector y separador </w:t>
      </w:r>
      <w:r>
        <w:rPr>
          <w:rFonts w:ascii="Arial" w:hAnsi="Arial"/>
        </w:rPr>
        <w:t>WP-SMRA</w:t>
      </w:r>
      <w:r>
        <w:rPr>
          <w:rFonts w:ascii="Arial" w:hAnsi="Arial"/>
          <w:color w:val="000000"/>
        </w:rPr>
        <w:t xml:space="preserve">, Würth Elektronik ofrece ahora nuevas opciones de sujeción de cable a placa y de placa a placa para el montaje a 90° de frontales, carcasas, placas de circuito impreso o conexiones de cables. Los WP-SMRA son también conectores de alta corriente de la serie REDCUBE SMD. La versión con rosca M2 está prevista para una aplicación especial: en combinación con los conectores </w:t>
      </w:r>
      <w:hyperlink r:id="rId8" w:history="1">
        <w:r>
          <w:rPr>
            <w:rStyle w:val="Hyperlink"/>
            <w:rFonts w:ascii="Arial" w:hAnsi="Arial"/>
          </w:rPr>
          <w:t>USB tipo C</w:t>
        </w:r>
      </w:hyperlink>
      <w:r>
        <w:rPr>
          <w:rFonts w:ascii="Arial" w:hAnsi="Arial"/>
          <w:color w:val="000000"/>
        </w:rPr>
        <w:t xml:space="preserve"> de Würth Elektronik, admiten cables USB-C con sujeción mediante tornillo, que se utilizan en muchas aplicaciones industriales para una conexión más robusta.</w:t>
      </w:r>
    </w:p>
    <w:p>
      <w:pPr>
        <w:pStyle w:val="Textkrper"/>
        <w:spacing w:before="120" w:after="120" w:line="260" w:lineRule="exact"/>
        <w:jc w:val="both"/>
        <w:rPr>
          <w:rFonts w:ascii="Arial" w:hAnsi="Arial"/>
          <w:b w:val="0"/>
          <w:bCs w:val="0"/>
          <w:color w:val="000000"/>
        </w:rPr>
      </w:pPr>
      <w:r>
        <w:rPr>
          <w:rFonts w:ascii="Arial" w:hAnsi="Arial"/>
          <w:b w:val="0"/>
          <w:color w:val="000000"/>
        </w:rPr>
        <w:t xml:space="preserve">Los conectores asegurados con tornillos contra desconexiones involuntarias están volviendo a las aplicaciones industriales gracias al conector USB tipo C. Gracias a la versión M2 del conector en montaje SMD WP-SMRA y el diseño de </w:t>
      </w:r>
      <w:hyperlink r:id="rId9" w:history="1">
        <w:r>
          <w:rPr>
            <w:rStyle w:val="Hyperlink"/>
            <w:rFonts w:ascii="Arial" w:hAnsi="Arial"/>
            <w:b w:val="0"/>
          </w:rPr>
          <w:t>referencia</w:t>
        </w:r>
      </w:hyperlink>
      <w:r>
        <w:rPr>
          <w:rFonts w:ascii="Arial" w:hAnsi="Arial"/>
          <w:b w:val="0"/>
          <w:color w:val="000000"/>
        </w:rPr>
        <w:t>, Würth Elektronik ofrece una solución sencilla de implementar para los ingenieros de diseño electrónico.</w:t>
      </w:r>
    </w:p>
    <w:p>
      <w:pPr>
        <w:pStyle w:val="Textkrper"/>
        <w:spacing w:before="120" w:after="120" w:line="260" w:lineRule="exact"/>
        <w:jc w:val="both"/>
        <w:rPr>
          <w:rFonts w:ascii="Arial" w:hAnsi="Arial"/>
          <w:b w:val="0"/>
          <w:color w:val="000000"/>
        </w:rPr>
      </w:pPr>
      <w:r>
        <w:rPr>
          <w:rFonts w:ascii="Arial" w:hAnsi="Arial"/>
          <w:b w:val="0"/>
          <w:color w:val="000000"/>
        </w:rPr>
        <w:t>WP-SMRA ya está disponible en stock sin cantidad mínima de pedido. Würth Elektronik proporciona a los diseñadores muestras gratuitas bajo solicitud previa.</w:t>
      </w:r>
    </w:p>
    <w:p>
      <w:pPr>
        <w:pStyle w:val="Textkrper"/>
        <w:spacing w:before="120" w:after="120" w:line="260" w:lineRule="exact"/>
        <w:jc w:val="both"/>
        <w:rPr>
          <w:rFonts w:ascii="Arial" w:hAnsi="Arial"/>
          <w:b w:val="0"/>
          <w:color w:val="00000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10" w:history="1">
        <w:r>
          <w:rPr>
            <w:rStyle w:val="Hyperlink"/>
            <w:rFonts w:ascii="Arial" w:hAnsi="Arial" w:cs="Arial"/>
            <w:sz w:val="18"/>
            <w:szCs w:val="18"/>
            <w:lang w:val="en-US"/>
          </w:rPr>
          <w:t>https://kk.htcm.de/press-releases/wuerth/</w:t>
        </w:r>
      </w:hyperlink>
    </w:p>
    <w:p>
      <w:pPr>
        <w:rPr>
          <w:rStyle w:val="Hyperlink"/>
          <w:rFonts w:ascii="Arial" w:hAnsi="Arial" w:cs="Arial"/>
          <w:bCs/>
          <w:color w:val="auto"/>
          <w:sz w:val="18"/>
          <w:szCs w:val="18"/>
        </w:rPr>
      </w:pPr>
      <w:r>
        <w:rPr>
          <w:rStyle w:val="Hyperlink"/>
          <w:rFonts w:ascii="Arial" w:hAnsi="Arial" w:cs="Arial"/>
          <w:bCs/>
          <w:color w:val="auto"/>
          <w:sz w:val="18"/>
          <w:szCs w:val="18"/>
        </w:rPr>
        <w:br w:type="page"/>
      </w:r>
    </w:p>
    <w:p>
      <w:pPr>
        <w:spacing w:after="120" w:line="280" w:lineRule="exact"/>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Cs/>
                <w:sz w:val="16"/>
                <w:szCs w:val="16"/>
              </w:rPr>
            </w:pPr>
            <w:r>
              <w:rPr>
                <w:b/>
              </w:rPr>
              <w:br/>
            </w:r>
            <w:r>
              <w:rPr>
                <w:b/>
              </w:rPr>
              <w:br/>
            </w:r>
            <w:r>
              <w:rPr>
                <w:noProof/>
                <w:lang w:val="de-DE"/>
              </w:rPr>
              <w:drawing>
                <wp:inline distT="0" distB="0" distL="0" distR="0">
                  <wp:extent cx="2139950" cy="905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05510"/>
                          </a:xfrm>
                          <a:prstGeom prst="rect">
                            <a:avLst/>
                          </a:prstGeom>
                          <a:noFill/>
                          <a:ln>
                            <a:noFill/>
                          </a:ln>
                        </pic:spPr>
                      </pic:pic>
                    </a:graphicData>
                  </a:graphic>
                </wp:inline>
              </w:drawing>
            </w:r>
            <w:r>
              <w:rPr>
                <w:b/>
                <w:sz w:val="18"/>
              </w:rPr>
              <w:br/>
            </w:r>
            <w:r>
              <w:rPr>
                <w:sz w:val="16"/>
              </w:rPr>
              <w:br/>
              <w:t xml:space="preserve">Fuente de la imagen: Würth Elektronik </w:t>
            </w:r>
          </w:p>
          <w:p>
            <w:pPr>
              <w:autoSpaceDE w:val="0"/>
              <w:autoSpaceDN w:val="0"/>
              <w:adjustRightInd w:val="0"/>
              <w:rPr>
                <w:rFonts w:ascii="Arial" w:hAnsi="Arial" w:cs="Arial"/>
                <w:b/>
                <w:bCs/>
                <w:sz w:val="18"/>
                <w:szCs w:val="18"/>
              </w:rPr>
            </w:pPr>
            <w:r>
              <w:rPr>
                <w:rFonts w:ascii="Arial" w:hAnsi="Arial"/>
                <w:b/>
                <w:sz w:val="18"/>
              </w:rPr>
              <w:t xml:space="preserve">Conexión de dos tornillos para cable USB C con dos tornillos laterales. </w:t>
            </w:r>
          </w:p>
        </w:tc>
        <w:tc>
          <w:tcPr>
            <w:tcW w:w="3510" w:type="dxa"/>
          </w:tcPr>
          <w:p>
            <w:pPr>
              <w:pStyle w:val="txt"/>
              <w:rPr>
                <w:bCs/>
                <w:sz w:val="16"/>
                <w:szCs w:val="16"/>
              </w:rPr>
            </w:pPr>
            <w:r>
              <w:br/>
            </w:r>
            <w:r>
              <w:br/>
            </w:r>
            <w:r>
              <w:rPr>
                <w:noProof/>
                <w:lang w:val="de-DE"/>
              </w:rPr>
              <w:drawing>
                <wp:inline distT="0" distB="0" distL="0" distR="0">
                  <wp:extent cx="2139950"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771525"/>
                          </a:xfrm>
                          <a:prstGeom prst="rect">
                            <a:avLst/>
                          </a:prstGeom>
                          <a:noFill/>
                          <a:ln>
                            <a:noFill/>
                          </a:ln>
                        </pic:spPr>
                      </pic:pic>
                    </a:graphicData>
                  </a:graphic>
                </wp:inline>
              </w:drawing>
            </w:r>
            <w:r>
              <w:rPr>
                <w:b/>
              </w:rPr>
              <w:br/>
            </w:r>
            <w:r>
              <w:rPr>
                <w:sz w:val="16"/>
              </w:rPr>
              <w:br/>
            </w:r>
            <w:r>
              <w:rPr>
                <w:sz w:val="16"/>
              </w:rPr>
              <w:br/>
              <w:t xml:space="preserve">Fuente de la imagen: Würth Elektronik </w:t>
            </w:r>
          </w:p>
          <w:p>
            <w:pPr>
              <w:autoSpaceDE w:val="0"/>
              <w:autoSpaceDN w:val="0"/>
              <w:adjustRightInd w:val="0"/>
              <w:rPr>
                <w:b/>
              </w:rPr>
            </w:pPr>
            <w:r>
              <w:rPr>
                <w:rFonts w:ascii="Arial" w:hAnsi="Arial"/>
                <w:b/>
                <w:sz w:val="18"/>
              </w:rPr>
              <w:t>Conexión de un tornillo para cable USB C con tornillo central. Existen WP-SMRA para placas de circuito impreso de 1,0 mm y 1,6 mm de grosor.</w:t>
            </w:r>
            <w:r>
              <w:rPr>
                <w:rFonts w:ascii="Arial" w:hAnsi="Arial"/>
                <w:b/>
                <w:sz w:val="18"/>
              </w:rPr>
              <w:br/>
              <w:t xml:space="preserve"> </w:t>
            </w: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1" w:name="_Hlk529547556"/>
      <w:bookmarkStart w:id="2" w:name="_Hlk530469551"/>
      <w:r>
        <w:rPr>
          <w:rFonts w:ascii="Arial" w:hAnsi="Arial"/>
        </w:rPr>
        <w:t xml:space="preserve">Acerca del Grupo Würth Elektronik eiSos </w:t>
      </w:r>
    </w:p>
    <w:bookmarkEnd w:id="1"/>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r>
        <w:rPr>
          <w:rFonts w:ascii="Arial" w:hAnsi="Arial"/>
          <w:b w:val="0"/>
        </w:rPr>
        <w:t xml:space="preserve">Würth Elektronik: </w:t>
      </w:r>
      <w:proofErr w:type="gramStart"/>
      <w:r>
        <w:rPr>
          <w:rFonts w:ascii="Arial" w:hAnsi="Arial"/>
          <w:b w:val="0"/>
        </w:rPr>
        <w:t>more than you expect!</w:t>
      </w:r>
      <w:proofErr w:type="gramEnd"/>
    </w:p>
    <w:p>
      <w:pPr>
        <w:pStyle w:val="Textkrper"/>
        <w:spacing w:before="120" w:after="120" w:line="276" w:lineRule="auto"/>
        <w:rPr>
          <w:rFonts w:ascii="Arial" w:hAnsi="Arial"/>
        </w:rPr>
      </w:pPr>
      <w:r>
        <w:rPr>
          <w:rFonts w:ascii="Arial" w:hAnsi="Arial"/>
        </w:rPr>
        <w:t>Más información en www.we-online.com</w:t>
      </w:r>
    </w:p>
    <w:p>
      <w:pPr>
        <w:rPr>
          <w:rFonts w:ascii="Verdana" w:hAnsi="Verdana" w:cs="Arial"/>
          <w:b/>
          <w:bCs/>
          <w:sz w:val="20"/>
          <w:szCs w:val="20"/>
        </w:rPr>
      </w:pPr>
      <w:r>
        <w:br w:type="page"/>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br w:type="page"/>
            </w:r>
            <w:r>
              <w:rPr>
                <w:rFonts w:ascii="Arial" w:hAnsi="Arial"/>
              </w:rPr>
              <w:t>Más información:</w:t>
            </w:r>
          </w:p>
          <w:p>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Max-Eyth-Strasse 1</w:t>
            </w:r>
            <w:r>
              <w:br/>
            </w:r>
            <w:r>
              <w:rPr>
                <w:rFonts w:ascii="Arial" w:hAnsi="Arial"/>
                <w:sz w:val="20"/>
              </w:rPr>
              <w:t>74638 Waldenburg</w:t>
            </w:r>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2"/>
    </w:tbl>
    <w:p>
      <w:pPr>
        <w:pStyle w:val="Textkrper"/>
        <w:spacing w:before="120" w:after="120" w:line="276" w:lineRule="auto"/>
      </w:pPr>
    </w:p>
    <w:p>
      <w:pPr>
        <w:pStyle w:val="Textkrper"/>
        <w:spacing w:before="120" w:after="120" w:line="276" w:lineRule="auto"/>
      </w:pPr>
    </w:p>
    <w:p>
      <w:pPr>
        <w:pStyle w:val="PITextkrper"/>
        <w:rPr>
          <w:b/>
          <w:bCs/>
          <w:sz w:val="18"/>
          <w:szCs w:val="18"/>
        </w:rPr>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WTH1PI920.docx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COM_3_1_THR_SMT_TYPE_C_RECEPTACLE_HORIZON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media/o563289v410%20ANE009a_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E6DD-C95E-4332-8C42-DF3C0FAA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3379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3892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2022-03-10T12:09:00Z</dcterms:created>
  <dcterms:modified xsi:type="dcterms:W3CDTF">2022-03-10T12:09:00Z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