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rPr>
      </w:pPr>
      <w:r>
        <w:rPr>
          <w:sz w:val="20"/>
          <w:lang w:val="en-US"/>
        </w:rPr>
        <w:t>PRESS RELEASE</w:t>
      </w:r>
    </w:p>
    <w:p>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Employees participate in </w:t>
      </w:r>
      <w:bookmarkStart w:id="0" w:name="_GoBack"/>
      <w:proofErr w:type="spellStart"/>
      <w:r>
        <w:rPr>
          <w:rFonts w:ascii="Arial" w:hAnsi="Arial" w:cs="Arial"/>
          <w:b/>
          <w:bCs/>
          <w:lang w:val="en-US"/>
        </w:rPr>
        <w:t>Diaconia</w:t>
      </w:r>
      <w:proofErr w:type="spellEnd"/>
      <w:r>
        <w:rPr>
          <w:rFonts w:ascii="Arial" w:hAnsi="Arial" w:cs="Arial"/>
          <w:b/>
          <w:bCs/>
          <w:lang w:val="en-US"/>
        </w:rPr>
        <w:t xml:space="preserve"> fundraiser </w:t>
      </w:r>
      <w:bookmarkEnd w:id="0"/>
      <w:r>
        <w:rPr>
          <w:rFonts w:ascii="Arial" w:hAnsi="Arial" w:cs="Arial"/>
          <w:b/>
          <w:bCs/>
          <w:lang w:val="en-US"/>
        </w:rPr>
        <w:t xml:space="preserve">for low-income families </w:t>
      </w:r>
    </w:p>
    <w:p>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Würth Elektronik lights up children’s eyes</w:t>
      </w:r>
    </w:p>
    <w:p>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16 December 2021 – For the second time in a row, the Young Talents of Würth Elektronik at the headquarters in Waldenburg have participated in the "Gifts under the Christmas Tree" campaign of the </w:t>
      </w:r>
      <w:proofErr w:type="spellStart"/>
      <w:r>
        <w:rPr>
          <w:rFonts w:ascii="Arial" w:hAnsi="Arial"/>
          <w:color w:val="000000"/>
          <w:lang w:val="en-US"/>
        </w:rPr>
        <w:t>Schwäbisch</w:t>
      </w:r>
      <w:proofErr w:type="spellEnd"/>
      <w:r>
        <w:rPr>
          <w:rFonts w:ascii="Arial" w:hAnsi="Arial"/>
          <w:color w:val="000000"/>
          <w:lang w:val="en-US"/>
        </w:rPr>
        <w:t xml:space="preserve"> Hall Diaconal Association.  In this way, they are fulfilling the Christmas wishes of children from low-income families in the region. The trainees of the manufacturer of electronic components went on a shopping trip, wrapped the presents and handed them over to the </w:t>
      </w:r>
      <w:proofErr w:type="spellStart"/>
      <w:r>
        <w:rPr>
          <w:rFonts w:ascii="Arial" w:hAnsi="Arial"/>
          <w:color w:val="000000"/>
          <w:lang w:val="en-US"/>
        </w:rPr>
        <w:t>Diaconia</w:t>
      </w:r>
      <w:proofErr w:type="spellEnd"/>
      <w:r>
        <w:rPr>
          <w:rFonts w:ascii="Arial" w:hAnsi="Arial"/>
          <w:color w:val="000000"/>
          <w:lang w:val="en-US"/>
        </w:rPr>
        <w:t>. On Christmas Eve, 50 children's eyes will light up.</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Gifts under the Christmas tree are unfortunately not always possible for all children, even in the </w:t>
      </w:r>
      <w:proofErr w:type="spellStart"/>
      <w:r>
        <w:rPr>
          <w:rFonts w:ascii="Arial" w:hAnsi="Arial"/>
          <w:b w:val="0"/>
          <w:bCs w:val="0"/>
          <w:lang w:val="en-US"/>
        </w:rPr>
        <w:t>Schwäbisch</w:t>
      </w:r>
      <w:proofErr w:type="spellEnd"/>
      <w:r>
        <w:rPr>
          <w:rFonts w:ascii="Arial" w:hAnsi="Arial"/>
          <w:b w:val="0"/>
          <w:bCs w:val="0"/>
          <w:lang w:val="en-US"/>
        </w:rPr>
        <w:t xml:space="preserve"> Hall church district. As part of the "Gifts under the Christmas tree" campaign, needy families have the opportunity to hang cards with children's wishes on two Christmas trees located in the </w:t>
      </w:r>
      <w:proofErr w:type="spellStart"/>
      <w:r>
        <w:rPr>
          <w:rFonts w:ascii="Arial" w:hAnsi="Arial"/>
          <w:b w:val="0"/>
          <w:bCs w:val="0"/>
          <w:lang w:val="en-US"/>
        </w:rPr>
        <w:t>Brenzhaus</w:t>
      </w:r>
      <w:proofErr w:type="spellEnd"/>
      <w:r>
        <w:rPr>
          <w:rFonts w:ascii="Arial" w:hAnsi="Arial"/>
          <w:b w:val="0"/>
          <w:bCs w:val="0"/>
          <w:lang w:val="en-US"/>
        </w:rPr>
        <w:t xml:space="preserve"> and St. Michael's Church. Donors can then make these dreams come true. The campaign for those affected by child poverty is organized by the Evangelical Youth Organization and the </w:t>
      </w:r>
      <w:proofErr w:type="spellStart"/>
      <w:r>
        <w:rPr>
          <w:rFonts w:ascii="Arial" w:hAnsi="Arial"/>
          <w:b w:val="0"/>
          <w:bCs w:val="0"/>
          <w:lang w:val="en-US"/>
        </w:rPr>
        <w:t>Schwäbisch</w:t>
      </w:r>
      <w:proofErr w:type="spellEnd"/>
      <w:r>
        <w:rPr>
          <w:rFonts w:ascii="Arial" w:hAnsi="Arial"/>
          <w:b w:val="0"/>
          <w:bCs w:val="0"/>
          <w:lang w:val="en-US"/>
        </w:rPr>
        <w:t xml:space="preserve"> Hall Diaconal Association, as well as by the St. Michael and St. Katharina parishes.</w:t>
      </w:r>
    </w:p>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39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6"/>
      </w:tblGrid>
      <w:tr>
        <w:trPr>
          <w:trHeight w:val="1701"/>
        </w:trPr>
        <w:tc>
          <w:tcPr>
            <w:tcW w:w="3936" w:type="dxa"/>
          </w:tcPr>
          <w:p>
            <w:pPr>
              <w:pStyle w:val="txt"/>
              <w:rPr>
                <w:b/>
                <w:bCs/>
                <w:sz w:val="18"/>
                <w:lang w:val="en-US"/>
              </w:rPr>
            </w:pPr>
            <w:r>
              <w:rPr>
                <w:b/>
                <w:lang w:val="en-US"/>
              </w:rPr>
              <w:lastRenderedPageBreak/>
              <w:br/>
            </w:r>
            <w:r>
              <w:rPr>
                <w:noProof/>
              </w:rPr>
              <w:drawing>
                <wp:inline distT="0" distB="0" distL="0" distR="0">
                  <wp:extent cx="2400300" cy="18002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r>
              <w:rPr>
                <w:b/>
                <w:bCs/>
                <w:sz w:val="18"/>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sz w:val="18"/>
                <w:szCs w:val="18"/>
                <w:lang w:val="en-US"/>
              </w:rPr>
            </w:pPr>
            <w:r>
              <w:rPr>
                <w:rFonts w:ascii="Arial" w:hAnsi="Arial" w:cs="Arial"/>
                <w:b/>
                <w:sz w:val="18"/>
                <w:szCs w:val="18"/>
                <w:lang w:val="en-US"/>
              </w:rPr>
              <w:t xml:space="preserve">Apprentices from Würth Elektronik decided to collect money for the </w:t>
            </w:r>
            <w:proofErr w:type="spellStart"/>
            <w:r>
              <w:rPr>
                <w:rFonts w:ascii="Arial" w:hAnsi="Arial" w:cs="Arial"/>
                <w:b/>
                <w:sz w:val="18"/>
                <w:szCs w:val="18"/>
                <w:lang w:val="en-US"/>
              </w:rPr>
              <w:t>Diaconia's</w:t>
            </w:r>
            <w:proofErr w:type="spellEnd"/>
            <w:r>
              <w:rPr>
                <w:rFonts w:ascii="Arial" w:hAnsi="Arial" w:cs="Arial"/>
                <w:b/>
                <w:sz w:val="18"/>
                <w:szCs w:val="18"/>
                <w:lang w:val="en-US"/>
              </w:rPr>
              <w:t xml:space="preserve"> Christmas campaign and use it to fulfill the wishes of needy children.</w:t>
            </w:r>
          </w:p>
          <w:p>
            <w:pPr>
              <w:autoSpaceDE w:val="0"/>
              <w:autoSpaceDN w:val="0"/>
              <w:adjustRightInd w:val="0"/>
              <w:rPr>
                <w:rFonts w:ascii="Arial" w:hAnsi="Arial" w:cs="Arial"/>
                <w:b/>
                <w:bCs/>
                <w:sz w:val="18"/>
                <w:szCs w:val="18"/>
                <w:lang w:val="en-US"/>
              </w:rPr>
            </w:pPr>
          </w:p>
        </w:tc>
      </w:tr>
    </w:tbl>
    <w:p>
      <w:pPr>
        <w:pStyle w:val="PITextkrper"/>
        <w:rPr>
          <w:b/>
          <w:bCs/>
          <w:sz w:val="18"/>
          <w:szCs w:val="18"/>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pPr>
        <w:rPr>
          <w:rFonts w:ascii="Verdana" w:hAnsi="Verdana" w:cs="Arial"/>
          <w:b/>
          <w:bCs/>
          <w:sz w:val="20"/>
          <w:szCs w:val="20"/>
          <w:lang w:val="en-US"/>
        </w:rPr>
      </w:pPr>
      <w:r>
        <w:rPr>
          <w:lang w:val="en-US"/>
        </w:rPr>
        <w:br w:type="page"/>
      </w:r>
    </w:p>
    <w:p>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 xml:space="preserve">Brigitte </w:t>
            </w:r>
            <w:proofErr w:type="spellStart"/>
            <w:r>
              <w:rPr>
                <w:rFonts w:ascii="Arial" w:hAnsi="Arial"/>
                <w:bCs/>
                <w:sz w:val="20"/>
                <w:lang w:val="en-US"/>
              </w:rPr>
              <w:t>Basilio</w:t>
            </w:r>
            <w:proofErr w:type="spellEnd"/>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rPr>
          <w:lang w:val="en-US"/>
        </w:rPr>
      </w:pPr>
    </w:p>
    <w:p>
      <w:pPr>
        <w:pStyle w:val="Textkrper"/>
        <w:spacing w:before="120" w:after="120" w:line="260" w:lineRule="exact"/>
        <w:jc w:val="both"/>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WTH1PI1037.docx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1" locked="0" layoutInCell="1" allowOverlap="1">
          <wp:simplePos x="0" y="0"/>
          <wp:positionH relativeFrom="column">
            <wp:posOffset>4191000</wp:posOffset>
          </wp:positionH>
          <wp:positionV relativeFrom="paragraph">
            <wp:posOffset>114935</wp:posOffset>
          </wp:positionV>
          <wp:extent cx="1889760" cy="756285"/>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562368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69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52DD-12FB-4698-8CFA-152BBFA3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2022-03-10T13:01:00Z</dcterms:created>
  <dcterms:modified xsi:type="dcterms:W3CDTF">2022-03-10T13:01:00Z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