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1A2D" w14:textId="77777777" w:rsidR="003C3891" w:rsidRDefault="00613BD9">
      <w:pPr>
        <w:pStyle w:val="berschrift1"/>
        <w:spacing w:before="720" w:after="720" w:line="260" w:lineRule="exact"/>
        <w:rPr>
          <w:sz w:val="20"/>
        </w:rPr>
      </w:pPr>
      <w:r>
        <w:rPr>
          <w:sz w:val="20"/>
        </w:rPr>
        <w:t>COMUNICATO STAMPA</w:t>
      </w:r>
    </w:p>
    <w:p w14:paraId="6B6EDC2E" w14:textId="77777777" w:rsidR="003C3891" w:rsidRPr="00A453B9" w:rsidRDefault="00613BD9">
      <w:pPr>
        <w:pStyle w:val="Kopfzeile"/>
        <w:tabs>
          <w:tab w:val="clear" w:pos="4536"/>
          <w:tab w:val="clear" w:pos="9072"/>
        </w:tabs>
        <w:spacing w:before="360" w:after="360"/>
        <w:rPr>
          <w:rFonts w:ascii="Arial" w:hAnsi="Arial" w:cs="Arial"/>
          <w:b/>
          <w:bCs/>
        </w:rPr>
      </w:pPr>
      <w:r w:rsidRPr="00A453B9">
        <w:rPr>
          <w:rFonts w:ascii="Arial" w:hAnsi="Arial"/>
          <w:b/>
          <w:bCs/>
        </w:rPr>
        <w:t xml:space="preserve">Würth Elektronik pubblica un nuovo reference design riguardante l’alimentazione di potenza </w:t>
      </w:r>
    </w:p>
    <w:p w14:paraId="1701B485" w14:textId="3D0C7BA3" w:rsidR="003C3891" w:rsidRPr="00A453B9" w:rsidRDefault="00613BD9">
      <w:pPr>
        <w:pStyle w:val="Kopfzeile"/>
        <w:tabs>
          <w:tab w:val="clear" w:pos="4536"/>
          <w:tab w:val="clear" w:pos="9072"/>
        </w:tabs>
        <w:spacing w:before="360" w:after="360"/>
        <w:rPr>
          <w:rFonts w:ascii="Arial" w:hAnsi="Arial" w:cs="Arial"/>
          <w:b/>
          <w:bCs/>
          <w:sz w:val="36"/>
        </w:rPr>
      </w:pPr>
      <w:r w:rsidRPr="00A453B9">
        <w:rPr>
          <w:rFonts w:ascii="Arial" w:hAnsi="Arial"/>
          <w:b/>
          <w:bCs/>
          <w:sz w:val="36"/>
        </w:rPr>
        <w:t xml:space="preserve">Alimentazione ausiliaria di potenza per MOSFET al carburo di </w:t>
      </w:r>
      <w:proofErr w:type="spellStart"/>
      <w:r w:rsidRPr="00A453B9">
        <w:rPr>
          <w:rFonts w:ascii="Arial" w:hAnsi="Arial"/>
          <w:b/>
          <w:bCs/>
          <w:sz w:val="36"/>
        </w:rPr>
        <w:t>sicilio</w:t>
      </w:r>
      <w:proofErr w:type="spellEnd"/>
      <w:r w:rsidRPr="00A453B9">
        <w:rPr>
          <w:rFonts w:ascii="Arial" w:hAnsi="Arial"/>
          <w:b/>
          <w:bCs/>
          <w:sz w:val="36"/>
        </w:rPr>
        <w:t xml:space="preserve"> (</w:t>
      </w:r>
      <w:proofErr w:type="spellStart"/>
      <w:r w:rsidRPr="00A453B9">
        <w:rPr>
          <w:rFonts w:ascii="Arial" w:hAnsi="Arial"/>
          <w:b/>
          <w:bCs/>
          <w:sz w:val="36"/>
        </w:rPr>
        <w:t>SiC</w:t>
      </w:r>
      <w:proofErr w:type="spellEnd"/>
      <w:r w:rsidRPr="00A453B9">
        <w:rPr>
          <w:rFonts w:ascii="Arial" w:hAnsi="Arial"/>
          <w:b/>
          <w:bCs/>
          <w:sz w:val="36"/>
        </w:rPr>
        <w:t>) e gate driver IGBT</w:t>
      </w:r>
    </w:p>
    <w:p w14:paraId="377703B2" w14:textId="76D9BE78" w:rsidR="003C3891" w:rsidRDefault="00613BD9">
      <w:pPr>
        <w:pStyle w:val="Textkrper"/>
        <w:spacing w:before="120" w:after="120" w:line="260" w:lineRule="exact"/>
        <w:jc w:val="both"/>
        <w:rPr>
          <w:rFonts w:ascii="Arial" w:hAnsi="Arial"/>
          <w:color w:val="000000"/>
        </w:rPr>
      </w:pPr>
      <w:proofErr w:type="spellStart"/>
      <w:r w:rsidRPr="00A453B9">
        <w:rPr>
          <w:rFonts w:ascii="Arial" w:hAnsi="Arial"/>
        </w:rPr>
        <w:t>Waldenburg</w:t>
      </w:r>
      <w:proofErr w:type="spellEnd"/>
      <w:r w:rsidRPr="00A453B9">
        <w:rPr>
          <w:rFonts w:ascii="Arial" w:hAnsi="Arial"/>
        </w:rPr>
        <w:t xml:space="preserve"> (Germania), </w:t>
      </w:r>
      <w:r w:rsidR="001436BF" w:rsidRPr="00A453B9">
        <w:rPr>
          <w:rFonts w:ascii="Arial" w:hAnsi="Arial"/>
        </w:rPr>
        <w:t>3 novembre 2022</w:t>
      </w:r>
      <w:r w:rsidRPr="00A453B9">
        <w:rPr>
          <w:rFonts w:ascii="Arial" w:hAnsi="Arial"/>
        </w:rPr>
        <w:t xml:space="preserve"> – Nei suoi reference design, Würth Elektronik presenta modelli di circuiti ampliamente collaudati per sviluppatori. L’edizione RD002 (in lingua inglese) è ora scaricabile gratuitamente: </w:t>
      </w:r>
      <w:hyperlink r:id="rId8" w:history="1">
        <w:r>
          <w:rPr>
            <w:rStyle w:val="Hyperlink"/>
            <w:rFonts w:ascii="Arial" w:hAnsi="Arial"/>
          </w:rPr>
          <w:t xml:space="preserve">6 W </w:t>
        </w:r>
        <w:proofErr w:type="spellStart"/>
        <w:r>
          <w:rPr>
            <w:rStyle w:val="Hyperlink"/>
            <w:rFonts w:ascii="Arial" w:hAnsi="Arial"/>
          </w:rPr>
          <w:t>Unipolar</w:t>
        </w:r>
        <w:proofErr w:type="spellEnd"/>
        <w:r>
          <w:rPr>
            <w:rStyle w:val="Hyperlink"/>
            <w:rFonts w:ascii="Arial" w:hAnsi="Arial"/>
          </w:rPr>
          <w:t xml:space="preserve"> </w:t>
        </w:r>
        <w:proofErr w:type="spellStart"/>
        <w:r>
          <w:rPr>
            <w:rStyle w:val="Hyperlink"/>
            <w:rFonts w:ascii="Arial" w:hAnsi="Arial"/>
          </w:rPr>
          <w:t>isolated</w:t>
        </w:r>
        <w:proofErr w:type="spellEnd"/>
        <w:r>
          <w:rPr>
            <w:rStyle w:val="Hyperlink"/>
            <w:rFonts w:ascii="Arial" w:hAnsi="Arial"/>
          </w:rPr>
          <w:t xml:space="preserve"> </w:t>
        </w:r>
        <w:proofErr w:type="spellStart"/>
        <w:r>
          <w:rPr>
            <w:rStyle w:val="Hyperlink"/>
            <w:rFonts w:ascii="Arial" w:hAnsi="Arial"/>
          </w:rPr>
          <w:t>auxiliary</w:t>
        </w:r>
        <w:proofErr w:type="spellEnd"/>
        <w:r>
          <w:rPr>
            <w:rStyle w:val="Hyperlink"/>
            <w:rFonts w:ascii="Arial" w:hAnsi="Arial"/>
          </w:rPr>
          <w:t xml:space="preserve"> supply for SiC-Mosfet and IGBT gate driver</w:t>
        </w:r>
      </w:hyperlink>
      <w:r>
        <w:rPr>
          <w:rFonts w:ascii="Arial" w:hAnsi="Arial"/>
          <w:color w:val="000000"/>
        </w:rPr>
        <w:t>. Illustra la struttura di una scheda da 27 x 14 x 14 mm con tensione di uscita regolabile.</w:t>
      </w:r>
    </w:p>
    <w:p w14:paraId="6BD59209"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Il reference design fornisce una tensione di uscita unipolare da +15 V a +20 V con potenza di 6 Watt e può essere utilizzato ad esempio in caricabatterie, inverter per impianti solari, motori a corrente alternata o alimentatori switching con MOSFET al carburo di silicio.</w:t>
      </w:r>
    </w:p>
    <w:p w14:paraId="7B506352" w14:textId="77777777" w:rsidR="003C3891" w:rsidRPr="00A453B9" w:rsidRDefault="00613BD9">
      <w:pPr>
        <w:pStyle w:val="Textkrper"/>
        <w:spacing w:before="120" w:after="120" w:line="260" w:lineRule="exact"/>
        <w:jc w:val="both"/>
        <w:rPr>
          <w:rFonts w:ascii="Arial" w:hAnsi="Arial"/>
        </w:rPr>
      </w:pPr>
      <w:r w:rsidRPr="00A453B9">
        <w:rPr>
          <w:rFonts w:ascii="Arial" w:hAnsi="Arial"/>
        </w:rPr>
        <w:t>Circuito e progettazione</w:t>
      </w:r>
    </w:p>
    <w:p w14:paraId="55FF2AF6"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 xml:space="preserve">Un’alimentazione ausiliaria di potenza isolata con potenza ridotta, generalmente di topologia flyback, push-pull o half-bridge fornisce il livello di tensione del gate drive e la potenza necessaria per l’attivazione e lo spegnimento del transistore al carburo di silicio, così come garantisce l’isolamento galvanico tra il lato ad alta tensione e a bassa tensione. L’isolamento è necessario sia per soddisfare gli standard di sicurezza rilevanti, sia per ridurre i disturbi elettrici derivanti dall’accoppiamento tra lato primario e lato secondario del convertitore, migliorando quindi la compatibilità elettromagnetica e la stabilità del controllo del gate driver. Questa funzione primaria viene eseguita dal trasformatore nell’alimentazione ausiliaria (WE-750318114). Il reference design presenta circuito e componenti e mostra diverse varianti di layout. </w:t>
      </w:r>
    </w:p>
    <w:p w14:paraId="3920080B"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 xml:space="preserve">“Anche nella tecnologia circuitale, gli sviluppatori non devono ogni volta reinventare la ruota”, afferma Falco Eleazar, Application Engineer di Würth Elektronik eiSos. “I nostri reference design permettono di risparmiare tempo ed essere certi che i componenti indicati siano disponibili a magazzino.” </w:t>
      </w:r>
    </w:p>
    <w:p w14:paraId="1CE15E52" w14:textId="77777777" w:rsidR="003C3891" w:rsidRDefault="00613BD9">
      <w:pPr>
        <w:pStyle w:val="Textkrper"/>
        <w:spacing w:before="120" w:after="120" w:line="260" w:lineRule="exact"/>
        <w:rPr>
          <w:rFonts w:ascii="Arial" w:hAnsi="Arial"/>
          <w:b w:val="0"/>
          <w:bCs w:val="0"/>
        </w:rPr>
      </w:pPr>
      <w:r>
        <w:rPr>
          <w:rFonts w:ascii="Arial" w:hAnsi="Arial"/>
          <w:b w:val="0"/>
          <w:bCs w:val="0"/>
        </w:rPr>
        <w:t xml:space="preserve">Il reference design RD002 è disponibile al link </w:t>
      </w:r>
      <w:hyperlink r:id="rId9" w:history="1">
        <w:r>
          <w:rPr>
            <w:rStyle w:val="Hyperlink"/>
            <w:rFonts w:ascii="Arial" w:hAnsi="Arial"/>
            <w:b w:val="0"/>
            <w:bCs w:val="0"/>
          </w:rPr>
          <w:t>www.we-online.com/RD002</w:t>
        </w:r>
      </w:hyperlink>
      <w:r>
        <w:rPr>
          <w:rFonts w:ascii="Arial" w:hAnsi="Arial"/>
          <w:b w:val="0"/>
          <w:bCs w:val="0"/>
        </w:rPr>
        <w:t>.</w:t>
      </w:r>
    </w:p>
    <w:p w14:paraId="0CEC3ED8" w14:textId="77777777" w:rsidR="003C3891" w:rsidRDefault="003C3891">
      <w:pPr>
        <w:pStyle w:val="Textkrper"/>
        <w:spacing w:before="120" w:after="120" w:line="260" w:lineRule="exact"/>
        <w:rPr>
          <w:rFonts w:ascii="Arial" w:hAnsi="Arial"/>
          <w:b w:val="0"/>
          <w:bCs w:val="0"/>
        </w:rPr>
      </w:pPr>
    </w:p>
    <w:p w14:paraId="5E3389C8" w14:textId="77777777" w:rsidR="003C3891" w:rsidRDefault="003C3891">
      <w:pPr>
        <w:pStyle w:val="Textkrper"/>
        <w:spacing w:before="120" w:after="120" w:line="260" w:lineRule="exact"/>
        <w:jc w:val="both"/>
        <w:rPr>
          <w:rFonts w:ascii="Arial" w:hAnsi="Arial"/>
          <w:b w:val="0"/>
          <w:bCs w:val="0"/>
        </w:rPr>
      </w:pPr>
    </w:p>
    <w:p w14:paraId="7A39A906" w14:textId="77777777" w:rsidR="003C3891" w:rsidRDefault="003C3891">
      <w:pPr>
        <w:pStyle w:val="Textkrper"/>
        <w:spacing w:before="120" w:after="120" w:line="260" w:lineRule="exact"/>
        <w:jc w:val="both"/>
        <w:rPr>
          <w:rFonts w:ascii="Arial" w:hAnsi="Arial"/>
          <w:b w:val="0"/>
          <w:bCs w:val="0"/>
        </w:rPr>
      </w:pPr>
    </w:p>
    <w:p w14:paraId="1116568D" w14:textId="77777777" w:rsidR="003C3891" w:rsidRDefault="003C3891">
      <w:pPr>
        <w:pStyle w:val="Textkrper"/>
        <w:spacing w:before="120" w:after="120" w:line="260" w:lineRule="exact"/>
        <w:jc w:val="both"/>
        <w:rPr>
          <w:rFonts w:ascii="Arial" w:hAnsi="Arial"/>
          <w:b w:val="0"/>
          <w:bCs w:val="0"/>
        </w:rPr>
      </w:pPr>
    </w:p>
    <w:p w14:paraId="7B955FD7" w14:textId="77777777" w:rsidR="00A453B9" w:rsidRPr="00856DDE" w:rsidRDefault="00A453B9" w:rsidP="00A453B9">
      <w:pPr>
        <w:pStyle w:val="Textkrper"/>
        <w:spacing w:before="120" w:after="120" w:line="260" w:lineRule="exact"/>
        <w:jc w:val="both"/>
        <w:rPr>
          <w:rFonts w:ascii="Arial" w:hAnsi="Arial"/>
          <w:b w:val="0"/>
          <w:bCs w:val="0"/>
        </w:rPr>
      </w:pPr>
    </w:p>
    <w:p w14:paraId="2C8ABE4E" w14:textId="77777777" w:rsidR="00A453B9" w:rsidRDefault="00A453B9" w:rsidP="00A453B9">
      <w:pPr>
        <w:pStyle w:val="PITextkrper"/>
        <w:pBdr>
          <w:top w:val="single" w:sz="4" w:space="1" w:color="auto"/>
        </w:pBdr>
        <w:spacing w:before="240"/>
        <w:rPr>
          <w:b/>
          <w:sz w:val="18"/>
          <w:szCs w:val="18"/>
          <w:lang w:val="de-DE"/>
        </w:rPr>
      </w:pPr>
    </w:p>
    <w:p w14:paraId="61B39245" w14:textId="77777777" w:rsidR="00A453B9" w:rsidRPr="004D044E" w:rsidRDefault="00A453B9" w:rsidP="00A453B9">
      <w:pPr>
        <w:spacing w:after="120" w:line="280" w:lineRule="exact"/>
        <w:rPr>
          <w:rFonts w:ascii="Arial" w:hAnsi="Arial" w:cs="Arial"/>
          <w:b/>
          <w:bCs/>
          <w:sz w:val="18"/>
          <w:szCs w:val="18"/>
        </w:rPr>
      </w:pPr>
      <w:r>
        <w:rPr>
          <w:rFonts w:ascii="Arial" w:hAnsi="Arial"/>
          <w:b/>
          <w:sz w:val="18"/>
        </w:rPr>
        <w:t>Immagini disponibili</w:t>
      </w:r>
    </w:p>
    <w:p w14:paraId="40FF5C66" w14:textId="0C0CB2AE" w:rsidR="00A453B9" w:rsidRDefault="00A453B9" w:rsidP="00A453B9">
      <w:pPr>
        <w:spacing w:after="120" w:line="280" w:lineRule="exact"/>
        <w:rPr>
          <w:rStyle w:val="Hyperlink"/>
          <w:rFonts w:ascii="Arial" w:hAnsi="Arial" w:cs="Arial"/>
          <w:sz w:val="18"/>
          <w:szCs w:val="18"/>
          <w:lang w:val="en-US"/>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C3891" w14:paraId="593DDBD4" w14:textId="77777777">
        <w:trPr>
          <w:trHeight w:val="1701"/>
        </w:trPr>
        <w:tc>
          <w:tcPr>
            <w:tcW w:w="3510" w:type="dxa"/>
          </w:tcPr>
          <w:p w14:paraId="3BB1F2BA" w14:textId="77777777" w:rsidR="003C3891" w:rsidRDefault="00613BD9">
            <w:pPr>
              <w:pStyle w:val="txt"/>
              <w:rPr>
                <w:b/>
                <w:bCs/>
                <w:sz w:val="18"/>
              </w:rPr>
            </w:pPr>
            <w:r>
              <w:rPr>
                <w:b/>
              </w:rPr>
              <w:br/>
            </w:r>
            <w:r>
              <w:rPr>
                <w:noProof/>
                <w:lang w:val="en-US" w:eastAsia="zh-CN"/>
              </w:rPr>
              <w:drawing>
                <wp:inline distT="0" distB="0" distL="0" distR="0" wp14:anchorId="3DCE9CEF" wp14:editId="3A67565D">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bCs/>
                <w:sz w:val="18"/>
              </w:rPr>
              <w:br/>
            </w:r>
            <w:r>
              <w:rPr>
                <w:bCs/>
                <w:sz w:val="16"/>
                <w:szCs w:val="16"/>
              </w:rPr>
              <w:t xml:space="preserve">Foto di: Würth Elektronik </w:t>
            </w:r>
          </w:p>
          <w:p w14:paraId="34B9A1B0" w14:textId="77777777" w:rsidR="003C3891" w:rsidRDefault="00613BD9">
            <w:pPr>
              <w:autoSpaceDE w:val="0"/>
              <w:autoSpaceDN w:val="0"/>
              <w:adjustRightInd w:val="0"/>
              <w:rPr>
                <w:rFonts w:ascii="Arial" w:hAnsi="Arial" w:cs="Arial"/>
                <w:b/>
                <w:sz w:val="18"/>
                <w:szCs w:val="18"/>
              </w:rPr>
            </w:pPr>
            <w:r>
              <w:rPr>
                <w:rFonts w:ascii="Arial" w:hAnsi="Arial"/>
                <w:b/>
                <w:sz w:val="18"/>
                <w:szCs w:val="18"/>
              </w:rPr>
              <w:t xml:space="preserve">Compattezza e sicurezza di funzionamento: alimentazione di potenza in base al reference design RD002 di Würth Elektronik </w:t>
            </w:r>
          </w:p>
          <w:p w14:paraId="507CA7CA" w14:textId="77777777" w:rsidR="003C3891" w:rsidRDefault="003C3891">
            <w:pPr>
              <w:autoSpaceDE w:val="0"/>
              <w:autoSpaceDN w:val="0"/>
              <w:adjustRightInd w:val="0"/>
              <w:rPr>
                <w:rFonts w:ascii="Arial" w:hAnsi="Arial" w:cs="Arial"/>
                <w:b/>
                <w:bCs/>
                <w:sz w:val="18"/>
                <w:szCs w:val="18"/>
              </w:rPr>
            </w:pPr>
          </w:p>
        </w:tc>
      </w:tr>
    </w:tbl>
    <w:p w14:paraId="35273FFD" w14:textId="555624B6" w:rsidR="003C3891" w:rsidRDefault="003C3891">
      <w:pPr>
        <w:pStyle w:val="PITextkrper"/>
      </w:pPr>
    </w:p>
    <w:p w14:paraId="6527520F" w14:textId="77777777" w:rsidR="00A453B9" w:rsidRDefault="00A453B9" w:rsidP="00A453B9">
      <w:pPr>
        <w:pStyle w:val="Textkrper"/>
        <w:spacing w:before="120" w:after="120" w:line="260" w:lineRule="exact"/>
        <w:jc w:val="both"/>
        <w:rPr>
          <w:rFonts w:ascii="Arial" w:hAnsi="Arial"/>
          <w:b w:val="0"/>
          <w:bCs w:val="0"/>
        </w:rPr>
      </w:pPr>
    </w:p>
    <w:p w14:paraId="3083F233" w14:textId="77777777" w:rsidR="00A453B9" w:rsidRPr="004C0F82" w:rsidRDefault="00A453B9" w:rsidP="00A453B9">
      <w:pPr>
        <w:pStyle w:val="PITextkrper"/>
        <w:pBdr>
          <w:top w:val="single" w:sz="4" w:space="1" w:color="auto"/>
        </w:pBdr>
        <w:spacing w:before="240"/>
        <w:rPr>
          <w:b/>
          <w:sz w:val="18"/>
          <w:szCs w:val="18"/>
          <w:lang w:val="de-DE"/>
        </w:rPr>
      </w:pPr>
    </w:p>
    <w:p w14:paraId="50EF65D1" w14:textId="77777777" w:rsidR="00A453B9" w:rsidRDefault="00A453B9" w:rsidP="00A453B9">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0B21F439" w14:textId="77777777" w:rsidR="00A453B9" w:rsidRPr="008228F7" w:rsidRDefault="00A453B9" w:rsidP="00A453B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0A2D466" w14:textId="77777777" w:rsidR="00A453B9" w:rsidRPr="008228F7" w:rsidRDefault="00A453B9" w:rsidP="00A453B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1BB0E8A" w14:textId="77777777" w:rsidR="00A453B9" w:rsidRDefault="00A453B9" w:rsidP="00A453B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CA01F87" w14:textId="77777777" w:rsidR="00A453B9" w:rsidRDefault="00A453B9" w:rsidP="00A453B9">
      <w:pPr>
        <w:pStyle w:val="Textkrper"/>
        <w:spacing w:before="120" w:after="120" w:line="276" w:lineRule="auto"/>
        <w:jc w:val="both"/>
        <w:rPr>
          <w:rFonts w:ascii="Arial" w:hAnsi="Arial"/>
          <w:b w:val="0"/>
        </w:rPr>
      </w:pPr>
    </w:p>
    <w:p w14:paraId="3029BAE5" w14:textId="0B05E7F4" w:rsidR="00A453B9" w:rsidRDefault="00A453B9" w:rsidP="00A453B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4BF3B949" w14:textId="77777777" w:rsidR="00A453B9" w:rsidRPr="00BB2A0F" w:rsidRDefault="00A453B9" w:rsidP="00A453B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017F40B" w14:textId="77777777" w:rsidR="00A453B9" w:rsidRDefault="00A453B9" w:rsidP="00A453B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1FA31A0" w14:textId="77777777" w:rsidR="00A453B9" w:rsidRPr="00212CFC" w:rsidRDefault="00A453B9" w:rsidP="00A453B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453B9" w:rsidRPr="00625C04" w14:paraId="1D8468F2" w14:textId="77777777" w:rsidTr="0077714F">
        <w:tc>
          <w:tcPr>
            <w:tcW w:w="3902" w:type="dxa"/>
            <w:shd w:val="clear" w:color="auto" w:fill="auto"/>
            <w:hideMark/>
          </w:tcPr>
          <w:p w14:paraId="464E829E" w14:textId="77777777" w:rsidR="00A453B9" w:rsidRPr="00A06F99" w:rsidRDefault="00A453B9" w:rsidP="0077714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CF5C9C7" w14:textId="77777777" w:rsidR="00A453B9" w:rsidRPr="00A06F99" w:rsidRDefault="00A453B9" w:rsidP="0077714F">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C4AC418" w14:textId="77777777" w:rsidR="00A453B9" w:rsidRPr="00A06F99" w:rsidRDefault="00A453B9" w:rsidP="0077714F">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B51764E" w14:textId="77777777" w:rsidR="00A453B9" w:rsidRPr="00625C04" w:rsidRDefault="00A453B9" w:rsidP="0077714F">
            <w:pPr>
              <w:spacing w:before="120" w:after="120" w:line="276" w:lineRule="auto"/>
              <w:rPr>
                <w:rFonts w:ascii="Arial" w:hAnsi="Arial" w:cs="Arial"/>
                <w:bCs/>
                <w:sz w:val="20"/>
              </w:rPr>
            </w:pPr>
            <w:r>
              <w:rPr>
                <w:rFonts w:ascii="Arial" w:hAnsi="Arial"/>
                <w:sz w:val="20"/>
              </w:rPr>
              <w:t>www.we-online.com</w:t>
            </w:r>
          </w:p>
          <w:p w14:paraId="6F3460E8" w14:textId="77777777" w:rsidR="00A453B9" w:rsidRPr="00625C04" w:rsidRDefault="00A453B9" w:rsidP="0077714F">
            <w:pPr>
              <w:spacing w:before="120" w:after="120" w:line="276" w:lineRule="auto"/>
              <w:rPr>
                <w:rFonts w:ascii="Arial" w:hAnsi="Arial" w:cs="Arial"/>
                <w:bCs/>
                <w:sz w:val="20"/>
              </w:rPr>
            </w:pPr>
          </w:p>
        </w:tc>
        <w:tc>
          <w:tcPr>
            <w:tcW w:w="3193" w:type="dxa"/>
            <w:shd w:val="clear" w:color="auto" w:fill="auto"/>
            <w:hideMark/>
          </w:tcPr>
          <w:p w14:paraId="47768490" w14:textId="77777777" w:rsidR="00A453B9" w:rsidRPr="00625C04" w:rsidRDefault="00A453B9" w:rsidP="0077714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8C871E3"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CC5E8AF"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F7C4589"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4CB451D" w14:textId="77777777" w:rsidR="00A453B9" w:rsidRDefault="00A453B9">
      <w:pPr>
        <w:pStyle w:val="PITextkrper"/>
      </w:pPr>
    </w:p>
    <w:sectPr w:rsidR="00A453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FCC3" w14:textId="77777777" w:rsidR="003C3891" w:rsidRDefault="00613BD9">
      <w:r>
        <w:separator/>
      </w:r>
    </w:p>
  </w:endnote>
  <w:endnote w:type="continuationSeparator" w:id="0">
    <w:p w14:paraId="6AEA0BA8" w14:textId="77777777" w:rsidR="003C3891" w:rsidRDefault="0061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7C8B" w14:textId="77777777" w:rsidR="003C3891" w:rsidRDefault="00613BD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WTH1PI1129_it.docx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09F3" w14:textId="77777777" w:rsidR="003C3891" w:rsidRDefault="00613BD9">
      <w:r>
        <w:separator/>
      </w:r>
    </w:p>
  </w:footnote>
  <w:footnote w:type="continuationSeparator" w:id="0">
    <w:p w14:paraId="0ED37C1D" w14:textId="77777777" w:rsidR="003C3891" w:rsidRDefault="0061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63DC" w14:textId="77777777" w:rsidR="003C3891" w:rsidRDefault="00613BD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B3B3FFA" wp14:editId="7B1214E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63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91"/>
    <w:rsid w:val="001436BF"/>
    <w:rsid w:val="003C3891"/>
    <w:rsid w:val="00613BD9"/>
    <w:rsid w:val="00A02833"/>
    <w:rsid w:val="00A453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944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rd002_unipolar_isolated_auxiliary_suppl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RD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16EE-D228-4638-9D36-6D4F0730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4069</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2022-11-03T10:44:00Z</dcterms:created>
  <dcterms:modified xsi:type="dcterms:W3CDTF">2022-11-03T10:46:00Z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