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16DE" w14:textId="77777777" w:rsidR="005678BA" w:rsidRDefault="00CC1B40">
      <w:pPr>
        <w:pStyle w:val="berschrift1"/>
        <w:spacing w:before="720" w:after="720" w:line="260" w:lineRule="exact"/>
        <w:rPr>
          <w:sz w:val="20"/>
        </w:rPr>
      </w:pPr>
      <w:r>
        <w:rPr>
          <w:sz w:val="20"/>
        </w:rPr>
        <w:t>COMMUNIQUÉ DE PRESSE</w:t>
      </w:r>
    </w:p>
    <w:p w14:paraId="61900987" w14:textId="77777777" w:rsidR="005678BA" w:rsidRDefault="00CC1B40">
      <w:pPr>
        <w:pStyle w:val="Kopfzeile"/>
        <w:tabs>
          <w:tab w:val="clear" w:pos="4536"/>
          <w:tab w:val="clear" w:pos="9072"/>
        </w:tabs>
        <w:spacing w:before="360" w:after="360"/>
        <w:rPr>
          <w:rFonts w:ascii="Arial" w:hAnsi="Arial" w:cs="Arial"/>
          <w:b/>
          <w:bCs/>
        </w:rPr>
      </w:pPr>
      <w:r>
        <w:rPr>
          <w:rFonts w:ascii="Arial" w:hAnsi="Arial"/>
          <w:b/>
        </w:rPr>
        <w:t xml:space="preserve">Würth Elektronik publie sa note d’application sur la communication sans fil </w:t>
      </w:r>
    </w:p>
    <w:p w14:paraId="6DCA79CD" w14:textId="504AA5A5" w:rsidR="005678BA" w:rsidRDefault="00CC1B40">
      <w:pPr>
        <w:pStyle w:val="Kopfzeile"/>
        <w:tabs>
          <w:tab w:val="clear" w:pos="4536"/>
          <w:tab w:val="clear" w:pos="9072"/>
        </w:tabs>
        <w:spacing w:before="360" w:after="360"/>
        <w:rPr>
          <w:rFonts w:ascii="Arial" w:hAnsi="Arial" w:cs="Arial"/>
          <w:b/>
          <w:bCs/>
          <w:sz w:val="36"/>
        </w:rPr>
      </w:pPr>
      <w:r>
        <w:rPr>
          <w:rFonts w:ascii="Arial" w:hAnsi="Arial"/>
          <w:b/>
          <w:color w:val="000000"/>
          <w:sz w:val="36"/>
        </w:rPr>
        <w:t xml:space="preserve">Découplage de l’alimentation HF et </w:t>
      </w:r>
      <w:r>
        <w:rPr>
          <w:rFonts w:ascii="Arial" w:hAnsi="Arial"/>
          <w:b/>
          <w:color w:val="000000"/>
          <w:sz w:val="36"/>
        </w:rPr>
        <w:t>D</w:t>
      </w:r>
      <w:r>
        <w:rPr>
          <w:rFonts w:ascii="Arial" w:hAnsi="Arial"/>
          <w:b/>
          <w:color w:val="000000"/>
          <w:sz w:val="36"/>
        </w:rPr>
        <w:t xml:space="preserve">C en pratique </w:t>
      </w:r>
    </w:p>
    <w:p w14:paraId="0BAF8DAF" w14:textId="6BFD724D" w:rsidR="005678BA" w:rsidRDefault="00CC1B40">
      <w:pPr>
        <w:pStyle w:val="Textkrper"/>
        <w:spacing w:before="120" w:after="120" w:line="260" w:lineRule="exact"/>
        <w:jc w:val="both"/>
        <w:rPr>
          <w:rFonts w:ascii="Arial" w:hAnsi="Arial"/>
          <w:color w:val="000000"/>
        </w:rPr>
      </w:pPr>
      <w:r>
        <w:rPr>
          <w:rFonts w:ascii="Arial" w:hAnsi="Arial"/>
          <w:color w:val="000000"/>
        </w:rPr>
        <w:t>Waldenburg</w:t>
      </w:r>
      <w:r w:rsidR="00173E36">
        <w:rPr>
          <w:rFonts w:ascii="Arial" w:hAnsi="Arial"/>
          <w:color w:val="000000"/>
        </w:rPr>
        <w:t xml:space="preserve"> (Allemagne)</w:t>
      </w:r>
      <w:r>
        <w:rPr>
          <w:rFonts w:ascii="Arial" w:hAnsi="Arial"/>
          <w:color w:val="000000"/>
        </w:rPr>
        <w:t xml:space="preserve">, </w:t>
      </w:r>
      <w:r w:rsidR="00173E36">
        <w:rPr>
          <w:rFonts w:ascii="Arial" w:hAnsi="Arial"/>
          <w:color w:val="000000"/>
        </w:rPr>
        <w:t>le 20 octobre</w:t>
      </w:r>
      <w:r>
        <w:rPr>
          <w:rFonts w:ascii="Arial" w:hAnsi="Arial"/>
          <w:color w:val="000000"/>
        </w:rPr>
        <w:t xml:space="preserve"> 2022 – Les notes d’application de Würth Elektronik vous fournissent des informations solides et des conseils pratiques. Pas seulement pour les développeurs – la dernière version ANP101 : </w:t>
      </w:r>
      <w:hyperlink r:id="rId8" w:history="1">
        <w:r>
          <w:rPr>
            <w:rStyle w:val="Hyperlink"/>
            <w:rFonts w:ascii="Arial" w:hAnsi="Arial"/>
          </w:rPr>
          <w:t>ampl</w:t>
        </w:r>
        <w:r>
          <w:rPr>
            <w:rStyle w:val="Hyperlink"/>
            <w:rFonts w:ascii="Arial" w:hAnsi="Arial"/>
          </w:rPr>
          <w:t xml:space="preserve">ificateur </w:t>
        </w:r>
        <w:r>
          <w:rPr>
            <w:rStyle w:val="Hyperlink"/>
            <w:rFonts w:ascii="Arial" w:hAnsi="Arial"/>
          </w:rPr>
          <w:t xml:space="preserve">pour </w:t>
        </w:r>
        <w:proofErr w:type="spellStart"/>
        <w:r>
          <w:rPr>
            <w:rStyle w:val="Hyperlink"/>
            <w:rFonts w:ascii="Arial" w:hAnsi="Arial"/>
          </w:rPr>
          <w:t>application</w:t>
        </w:r>
        <w:r>
          <w:rPr>
            <w:rStyle w:val="Hyperlink"/>
            <w:rFonts w:ascii="Arial" w:hAnsi="Arial"/>
          </w:rPr>
          <w:t>RF</w:t>
        </w:r>
        <w:proofErr w:type="spellEnd"/>
        <w:r>
          <w:rPr>
            <w:rStyle w:val="Hyperlink"/>
            <w:rFonts w:ascii="Arial" w:hAnsi="Arial"/>
          </w:rPr>
          <w:t xml:space="preserve"> (Block Gain Amplifier)</w:t>
        </w:r>
        <w:r>
          <w:rPr>
            <w:rStyle w:val="Hyperlink"/>
            <w:rFonts w:ascii="Arial" w:hAnsi="Arial"/>
          </w:rPr>
          <w:t xml:space="preserve"> avec perle de ferrite multicouche intégrée pour un </w:t>
        </w:r>
        <w:r>
          <w:rPr>
            <w:rStyle w:val="Hyperlink"/>
            <w:rFonts w:ascii="Arial" w:hAnsi="Arial"/>
          </w:rPr>
          <w:t xml:space="preserve">découplage efficace </w:t>
        </w:r>
        <w:r>
          <w:rPr>
            <w:rStyle w:val="Hyperlink"/>
            <w:rFonts w:ascii="Arial" w:hAnsi="Arial"/>
          </w:rPr>
          <w:t>à large bande</w:t>
        </w:r>
      </w:hyperlink>
      <w:r>
        <w:rPr>
          <w:rFonts w:ascii="Arial" w:hAnsi="Arial"/>
          <w:color w:val="000000"/>
        </w:rPr>
        <w:t xml:space="preserve"> traite de la manière dont les caractéristiques de transmission d’un amplificateur RF </w:t>
      </w:r>
      <w:r>
        <w:rPr>
          <w:rFonts w:ascii="Arial" w:hAnsi="Arial"/>
          <w:color w:val="000000"/>
        </w:rPr>
        <w:t xml:space="preserve">peuvent être renforcées et améliorées par le bon choix de composants et </w:t>
      </w:r>
      <w:proofErr w:type="gramStart"/>
      <w:r>
        <w:rPr>
          <w:rFonts w:ascii="Arial" w:hAnsi="Arial"/>
          <w:color w:val="000000"/>
        </w:rPr>
        <w:t>un</w:t>
      </w:r>
      <w:r>
        <w:rPr>
          <w:rFonts w:ascii="Arial" w:hAnsi="Arial"/>
          <w:color w:val="000000"/>
        </w:rPr>
        <w:t xml:space="preserve">e implantation </w:t>
      </w:r>
      <w:r>
        <w:rPr>
          <w:rFonts w:ascii="Arial" w:hAnsi="Arial"/>
          <w:color w:val="000000"/>
        </w:rPr>
        <w:t>optimal</w:t>
      </w:r>
      <w:proofErr w:type="gramEnd"/>
      <w:r>
        <w:rPr>
          <w:rFonts w:ascii="Arial" w:hAnsi="Arial"/>
          <w:color w:val="000000"/>
        </w:rPr>
        <w:t>.</w:t>
      </w:r>
    </w:p>
    <w:p w14:paraId="68DB2EBD" w14:textId="2232499B" w:rsidR="005678BA" w:rsidRDefault="00CC1B40">
      <w:pPr>
        <w:pStyle w:val="Textkrper"/>
        <w:spacing w:before="120" w:after="120" w:line="260" w:lineRule="exact"/>
        <w:jc w:val="both"/>
        <w:rPr>
          <w:rFonts w:ascii="Arial" w:hAnsi="Arial"/>
          <w:b w:val="0"/>
          <w:bCs w:val="0"/>
        </w:rPr>
      </w:pPr>
      <w:r>
        <w:rPr>
          <w:rFonts w:ascii="Arial" w:hAnsi="Arial"/>
          <w:b w:val="0"/>
        </w:rPr>
        <w:t>Des systèmes 5G aux applications radio et antennes : la communication sans fil nous accompagne dans notre vie quotidienne. La demande d’amplificateurs universels à haute fréquence est donc élevée. En sélectionnant les composants passifs optimaux, les carac</w:t>
      </w:r>
      <w:r>
        <w:rPr>
          <w:rFonts w:ascii="Arial" w:hAnsi="Arial"/>
          <w:b w:val="0"/>
        </w:rPr>
        <w:t>téristiques</w:t>
      </w:r>
      <w:r w:rsidR="00173E36">
        <w:rPr>
          <w:rFonts w:ascii="Arial" w:hAnsi="Arial"/>
          <w:b w:val="0"/>
        </w:rPr>
        <w:t xml:space="preserve"> </w:t>
      </w:r>
      <w:r>
        <w:rPr>
          <w:rFonts w:ascii="Arial" w:hAnsi="Arial"/>
          <w:b w:val="0"/>
        </w:rPr>
        <w:t>de</w:t>
      </w:r>
      <w:r>
        <w:rPr>
          <w:rFonts w:ascii="Arial" w:hAnsi="Arial"/>
          <w:b w:val="0"/>
        </w:rPr>
        <w:t xml:space="preserve"> la ligne de transmission</w:t>
      </w:r>
      <w:r>
        <w:rPr>
          <w:rFonts w:ascii="Arial" w:hAnsi="Arial"/>
          <w:b w:val="0"/>
        </w:rPr>
        <w:t xml:space="preserve"> peuvent</w:t>
      </w:r>
      <w:r>
        <w:rPr>
          <w:rFonts w:ascii="Arial" w:hAnsi="Arial"/>
          <w:b w:val="0"/>
        </w:rPr>
        <w:t xml:space="preserve"> être adaptées au mieux à l’amplificateur</w:t>
      </w:r>
      <w:r w:rsidR="00173E36">
        <w:rPr>
          <w:rFonts w:ascii="Arial" w:hAnsi="Arial"/>
          <w:b w:val="0"/>
        </w:rPr>
        <w:t xml:space="preserve">. </w:t>
      </w:r>
      <w:r>
        <w:rPr>
          <w:rFonts w:ascii="Arial" w:hAnsi="Arial"/>
          <w:b w:val="0"/>
        </w:rPr>
        <w:t>Un agencement bien conçu améliore encore les performances RF. L’objectif</w:t>
      </w:r>
      <w:r>
        <w:rPr>
          <w:rFonts w:ascii="Arial" w:hAnsi="Arial"/>
          <w:b w:val="0"/>
        </w:rPr>
        <w:t xml:space="preserve"> est de transmettre les signaux RF et l’alimentation en courant continu sur une seule ligne sans interférence ni diaphonie. Un composant clé est l’inductance pour découpler les alimentations RF et </w:t>
      </w:r>
      <w:r>
        <w:rPr>
          <w:rFonts w:ascii="Arial" w:hAnsi="Arial"/>
          <w:b w:val="0"/>
        </w:rPr>
        <w:t>D</w:t>
      </w:r>
      <w:r>
        <w:rPr>
          <w:rFonts w:ascii="Arial" w:hAnsi="Arial"/>
          <w:b w:val="0"/>
        </w:rPr>
        <w:t>C.</w:t>
      </w:r>
    </w:p>
    <w:p w14:paraId="3B9D0365" w14:textId="77777777" w:rsidR="005678BA" w:rsidRDefault="00CC1B40">
      <w:pPr>
        <w:pStyle w:val="Textkrper"/>
        <w:spacing w:before="120" w:after="120" w:line="260" w:lineRule="exact"/>
        <w:jc w:val="both"/>
        <w:rPr>
          <w:rFonts w:ascii="Arial" w:hAnsi="Arial"/>
          <w:bCs w:val="0"/>
        </w:rPr>
      </w:pPr>
      <w:r>
        <w:rPr>
          <w:rFonts w:ascii="Arial" w:hAnsi="Arial"/>
        </w:rPr>
        <w:t>Configuration de mesure pour l’évaluation des alternat</w:t>
      </w:r>
      <w:r>
        <w:rPr>
          <w:rFonts w:ascii="Arial" w:hAnsi="Arial"/>
        </w:rPr>
        <w:t>ives de circuit</w:t>
      </w:r>
    </w:p>
    <w:p w14:paraId="11980167" w14:textId="7D2E81CE" w:rsidR="005678BA" w:rsidRDefault="00CC1B40">
      <w:pPr>
        <w:pStyle w:val="Textkrper"/>
        <w:spacing w:before="120" w:after="120" w:line="260" w:lineRule="exact"/>
        <w:jc w:val="both"/>
        <w:rPr>
          <w:rFonts w:ascii="Arial" w:hAnsi="Arial"/>
          <w:b w:val="0"/>
          <w:bCs w:val="0"/>
        </w:rPr>
      </w:pPr>
      <w:r>
        <w:rPr>
          <w:rFonts w:ascii="Arial" w:hAnsi="Arial"/>
          <w:b w:val="0"/>
        </w:rPr>
        <w:t xml:space="preserve">Outre les inductances standard, des ferrites multicouches sont également utilisées. Pour comparer et évaluer les deux alternatives, les spécialistes de Würth Elektronik ont réalisé et mesuré une carte d’évaluation d’un amplificateur RF. La </w:t>
      </w:r>
      <w:r>
        <w:rPr>
          <w:rFonts w:ascii="Arial" w:hAnsi="Arial"/>
          <w:b w:val="0"/>
        </w:rPr>
        <w:t xml:space="preserve">configuration et les résultats des mesures sont documentés avec précision dans la note d’application. </w:t>
      </w:r>
      <w:bookmarkStart w:id="0" w:name="_Hlk112598134"/>
      <w:r>
        <w:rPr>
          <w:rFonts w:ascii="Arial" w:hAnsi="Arial"/>
          <w:b w:val="0"/>
        </w:rPr>
        <w:t>ANP101</w:t>
      </w:r>
      <w:bookmarkEnd w:id="0"/>
      <w:r>
        <w:rPr>
          <w:rFonts w:ascii="Arial" w:hAnsi="Arial"/>
          <w:b w:val="0"/>
        </w:rPr>
        <w:t xml:space="preserve"> comprend également des considérations sur la conception du circuit et des recommandations pour définir les paramètres optimaux à l’aide de deux exe</w:t>
      </w:r>
      <w:r>
        <w:rPr>
          <w:rFonts w:ascii="Arial" w:hAnsi="Arial"/>
          <w:b w:val="0"/>
        </w:rPr>
        <w:t xml:space="preserve">mples d’amplificateurs RF. Elle décrit également comment les composants sont sélectionnés spécifiquement avec l’outil de simulation en ligne </w:t>
      </w:r>
      <w:hyperlink r:id="rId9" w:history="1">
        <w:r>
          <w:rPr>
            <w:rStyle w:val="Hyperlink"/>
            <w:rFonts w:ascii="Arial" w:hAnsi="Arial"/>
            <w:b w:val="0"/>
          </w:rPr>
          <w:t>REDEXPERT</w:t>
        </w:r>
      </w:hyperlink>
      <w:r>
        <w:rPr>
          <w:rFonts w:ascii="Arial" w:hAnsi="Arial"/>
          <w:b w:val="0"/>
        </w:rPr>
        <w:t xml:space="preserve"> de Würth Elektronik ou comment les condensateurs de blocage </w:t>
      </w:r>
      <w:r>
        <w:rPr>
          <w:rFonts w:ascii="Arial" w:hAnsi="Arial"/>
          <w:b w:val="0"/>
        </w:rPr>
        <w:t>D</w:t>
      </w:r>
      <w:r>
        <w:rPr>
          <w:rFonts w:ascii="Arial" w:hAnsi="Arial"/>
          <w:b w:val="0"/>
        </w:rPr>
        <w:t>C sont correctement dimensionnés.</w:t>
      </w:r>
    </w:p>
    <w:p w14:paraId="0F7A7961" w14:textId="77777777" w:rsidR="005678BA" w:rsidRDefault="00CC1B40">
      <w:pPr>
        <w:pStyle w:val="Textkrper"/>
        <w:spacing w:before="120" w:after="120" w:line="260" w:lineRule="exact"/>
        <w:rPr>
          <w:rFonts w:ascii="Arial" w:hAnsi="Arial"/>
          <w:b w:val="0"/>
          <w:bCs w:val="0"/>
        </w:rPr>
      </w:pPr>
      <w:r>
        <w:rPr>
          <w:rFonts w:ascii="Arial" w:hAnsi="Arial"/>
          <w:b w:val="0"/>
        </w:rPr>
        <w:t xml:space="preserve">La note d’application ANP101 est disponible sur </w:t>
      </w:r>
      <w:hyperlink r:id="rId10" w:history="1">
        <w:r>
          <w:rPr>
            <w:rStyle w:val="Hyperlink"/>
            <w:rFonts w:ascii="Arial" w:hAnsi="Arial"/>
            <w:b w:val="0"/>
          </w:rPr>
          <w:t>http://www.we-online.com/ANP101</w:t>
        </w:r>
      </w:hyperlink>
      <w:r>
        <w:rPr>
          <w:rFonts w:ascii="Arial" w:hAnsi="Arial"/>
          <w:b w:val="0"/>
        </w:rPr>
        <w:t>.</w:t>
      </w:r>
      <w:r>
        <w:rPr>
          <w:rFonts w:ascii="Arial" w:hAnsi="Arial"/>
          <w:b w:val="0"/>
        </w:rPr>
        <w:br/>
      </w:r>
    </w:p>
    <w:p w14:paraId="688F311D" w14:textId="77777777" w:rsidR="005678BA" w:rsidRDefault="00CC1B40">
      <w:pPr>
        <w:rPr>
          <w:rFonts w:ascii="Arial" w:hAnsi="Arial" w:cs="Arial"/>
          <w:sz w:val="20"/>
          <w:szCs w:val="20"/>
        </w:rPr>
      </w:pPr>
      <w:r>
        <w:br w:type="page"/>
      </w:r>
    </w:p>
    <w:p w14:paraId="585C0C30" w14:textId="77777777" w:rsidR="005678BA" w:rsidRDefault="005678BA">
      <w:pPr>
        <w:pStyle w:val="Textkrper"/>
        <w:spacing w:before="120" w:after="120" w:line="260" w:lineRule="exact"/>
        <w:jc w:val="both"/>
        <w:rPr>
          <w:rFonts w:ascii="Arial" w:hAnsi="Arial"/>
          <w:b w:val="0"/>
          <w:bCs w:val="0"/>
        </w:rPr>
      </w:pPr>
    </w:p>
    <w:p w14:paraId="5E4C616E" w14:textId="77777777" w:rsidR="005678BA" w:rsidRDefault="005678BA">
      <w:pPr>
        <w:pStyle w:val="PITextkrper"/>
        <w:pBdr>
          <w:top w:val="single" w:sz="4" w:space="1" w:color="auto"/>
        </w:pBdr>
        <w:spacing w:before="240"/>
        <w:rPr>
          <w:b/>
          <w:sz w:val="18"/>
          <w:szCs w:val="18"/>
        </w:rPr>
      </w:pPr>
    </w:p>
    <w:p w14:paraId="5063E4F7" w14:textId="77777777" w:rsidR="00CC1B40" w:rsidRPr="00591131" w:rsidRDefault="00CC1B40" w:rsidP="00CC1B40">
      <w:pPr>
        <w:spacing w:after="120" w:line="280" w:lineRule="exact"/>
        <w:rPr>
          <w:rFonts w:ascii="Arial" w:hAnsi="Arial" w:cs="Arial"/>
          <w:b/>
          <w:bCs/>
          <w:sz w:val="18"/>
          <w:szCs w:val="18"/>
        </w:rPr>
      </w:pPr>
      <w:r w:rsidRPr="00591131">
        <w:rPr>
          <w:rFonts w:ascii="Arial" w:hAnsi="Arial"/>
          <w:b/>
          <w:sz w:val="18"/>
        </w:rPr>
        <w:t>Images disponibles</w:t>
      </w:r>
    </w:p>
    <w:p w14:paraId="2353BE16" w14:textId="77777777" w:rsidR="00CC1B40" w:rsidRPr="00591131" w:rsidRDefault="00CC1B40" w:rsidP="00CC1B40">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1"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5678BA" w14:paraId="479F7BB7" w14:textId="77777777">
        <w:trPr>
          <w:trHeight w:val="1701"/>
        </w:trPr>
        <w:tc>
          <w:tcPr>
            <w:tcW w:w="3510" w:type="dxa"/>
          </w:tcPr>
          <w:p w14:paraId="1F95CB27" w14:textId="77777777" w:rsidR="005678BA" w:rsidRDefault="00CC1B40">
            <w:pPr>
              <w:pStyle w:val="txt"/>
              <w:rPr>
                <w:b/>
                <w:bCs/>
                <w:sz w:val="18"/>
              </w:rPr>
            </w:pPr>
            <w:r>
              <w:rPr>
                <w:b/>
              </w:rPr>
              <w:br/>
            </w:r>
            <w:r>
              <w:rPr>
                <w:noProof/>
                <w:lang w:val="en-US" w:eastAsia="zh-CN"/>
              </w:rPr>
              <w:drawing>
                <wp:inline distT="0" distB="0" distL="0" distR="0" wp14:anchorId="73985EE7" wp14:editId="377DC0D3">
                  <wp:extent cx="1933387"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3387" cy="1296000"/>
                          </a:xfrm>
                          <a:prstGeom prst="rect">
                            <a:avLst/>
                          </a:prstGeom>
                          <a:noFill/>
                          <a:ln>
                            <a:noFill/>
                          </a:ln>
                        </pic:spPr>
                      </pic:pic>
                    </a:graphicData>
                  </a:graphic>
                </wp:inline>
              </w:drawing>
            </w:r>
            <w:r>
              <w:rPr>
                <w:b/>
                <w:sz w:val="18"/>
              </w:rPr>
              <w:br/>
            </w:r>
            <w:r>
              <w:rPr>
                <w:sz w:val="16"/>
              </w:rPr>
              <w:t xml:space="preserve">Source photo : Würth </w:t>
            </w:r>
            <w:proofErr w:type="spellStart"/>
            <w:r>
              <w:rPr>
                <w:sz w:val="16"/>
              </w:rPr>
              <w:t>Elektronik</w:t>
            </w:r>
            <w:proofErr w:type="spellEnd"/>
            <w:r>
              <w:rPr>
                <w:sz w:val="16"/>
              </w:rPr>
              <w:t xml:space="preserve"> </w:t>
            </w:r>
          </w:p>
          <w:p w14:paraId="509F482C" w14:textId="77777777" w:rsidR="005678BA" w:rsidRDefault="00CC1B40">
            <w:pPr>
              <w:autoSpaceDE w:val="0"/>
              <w:autoSpaceDN w:val="0"/>
              <w:adjustRightInd w:val="0"/>
              <w:rPr>
                <w:rFonts w:ascii="Arial" w:hAnsi="Arial" w:cs="Arial"/>
                <w:b/>
                <w:sz w:val="18"/>
                <w:szCs w:val="18"/>
              </w:rPr>
            </w:pPr>
            <w:r>
              <w:rPr>
                <w:rFonts w:ascii="Arial" w:hAnsi="Arial"/>
                <w:b/>
                <w:sz w:val="18"/>
              </w:rPr>
              <w:t>Des connaissances professionnelles pour les développeurs RF : Note d’application ANP101 de Würth Elektronik</w:t>
            </w:r>
          </w:p>
          <w:p w14:paraId="09A091E2" w14:textId="77777777" w:rsidR="005678BA" w:rsidRDefault="005678BA">
            <w:pPr>
              <w:autoSpaceDE w:val="0"/>
              <w:autoSpaceDN w:val="0"/>
              <w:adjustRightInd w:val="0"/>
              <w:rPr>
                <w:rFonts w:ascii="Arial" w:hAnsi="Arial" w:cs="Arial"/>
                <w:b/>
                <w:bCs/>
                <w:sz w:val="18"/>
                <w:szCs w:val="18"/>
              </w:rPr>
            </w:pPr>
          </w:p>
        </w:tc>
        <w:tc>
          <w:tcPr>
            <w:tcW w:w="3510" w:type="dxa"/>
          </w:tcPr>
          <w:p w14:paraId="70095308" w14:textId="77777777" w:rsidR="005678BA" w:rsidRDefault="00CC1B40">
            <w:pPr>
              <w:pStyle w:val="txt"/>
              <w:rPr>
                <w:sz w:val="16"/>
              </w:rPr>
            </w:pPr>
            <w:r>
              <w:rPr>
                <w:b/>
              </w:rPr>
              <w:br/>
            </w:r>
            <w:r>
              <w:rPr>
                <w:noProof/>
                <w:color w:val="44546A" w:themeColor="text2"/>
                <w:lang w:val="en-US" w:eastAsia="zh-CN"/>
              </w:rPr>
              <w:drawing>
                <wp:inline distT="0" distB="0" distL="0" distR="0" wp14:anchorId="6E5B30B2" wp14:editId="3B6818E5">
                  <wp:extent cx="2144367" cy="129600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bildung1 (1).jpg"/>
                          <pic:cNvPicPr/>
                        </pic:nvPicPr>
                        <pic:blipFill rotWithShape="1">
                          <a:blip r:embed="rId13" cstate="print">
                            <a:extLst>
                              <a:ext uri="{28A0092B-C50C-407E-A947-70E740481C1C}">
                                <a14:useLocalDpi xmlns:a14="http://schemas.microsoft.com/office/drawing/2010/main" val="0"/>
                              </a:ext>
                            </a:extLst>
                          </a:blip>
                          <a:srcRect l="9351" t="12552" r="9351" b="13965"/>
                          <a:stretch/>
                        </pic:blipFill>
                        <pic:spPr bwMode="auto">
                          <a:xfrm>
                            <a:off x="0" y="0"/>
                            <a:ext cx="2144367" cy="1296000"/>
                          </a:xfrm>
                          <a:prstGeom prst="rect">
                            <a:avLst/>
                          </a:prstGeom>
                          <a:ln>
                            <a:noFill/>
                          </a:ln>
                          <a:extLst>
                            <a:ext uri="{53640926-AAD7-44D8-BBD7-CCE9431645EC}">
                              <a14:shadowObscured xmlns:a14="http://schemas.microsoft.com/office/drawing/2010/main"/>
                            </a:ext>
                          </a:extLst>
                        </pic:spPr>
                      </pic:pic>
                    </a:graphicData>
                  </a:graphic>
                </wp:inline>
              </w:drawing>
            </w:r>
            <w:r>
              <w:rPr>
                <w:sz w:val="16"/>
              </w:rPr>
              <w:t xml:space="preserve">Source photo : Würth Elektronik </w:t>
            </w:r>
          </w:p>
          <w:p w14:paraId="30C34222" w14:textId="77777777" w:rsidR="005678BA" w:rsidRDefault="00CC1B40">
            <w:pPr>
              <w:autoSpaceDE w:val="0"/>
              <w:autoSpaceDN w:val="0"/>
              <w:adjustRightInd w:val="0"/>
              <w:rPr>
                <w:rFonts w:ascii="Arial" w:hAnsi="Arial" w:cs="Arial"/>
                <w:b/>
                <w:sz w:val="18"/>
                <w:szCs w:val="18"/>
              </w:rPr>
            </w:pPr>
            <w:r>
              <w:rPr>
                <w:rFonts w:ascii="Arial" w:hAnsi="Arial"/>
                <w:b/>
                <w:sz w:val="18"/>
              </w:rPr>
              <w:t>Carte d’évaluation pour amplificateur à bloc de gain RF : La configuration et l</w:t>
            </w:r>
            <w:r>
              <w:rPr>
                <w:rFonts w:ascii="Arial" w:hAnsi="Arial"/>
                <w:b/>
                <w:sz w:val="18"/>
              </w:rPr>
              <w:t>es résultats des mesures sont documentés avec précision dans la note d’application.</w:t>
            </w:r>
          </w:p>
          <w:p w14:paraId="4DCCDF4D" w14:textId="77777777" w:rsidR="005678BA" w:rsidRDefault="005678BA">
            <w:pPr>
              <w:pStyle w:val="txt"/>
              <w:rPr>
                <w:b/>
              </w:rPr>
            </w:pPr>
          </w:p>
        </w:tc>
      </w:tr>
    </w:tbl>
    <w:p w14:paraId="4C5A0727" w14:textId="77777777" w:rsidR="005678BA" w:rsidRDefault="005678BA">
      <w:pPr>
        <w:spacing w:after="120" w:line="280" w:lineRule="exact"/>
        <w:rPr>
          <w:rFonts w:ascii="Arial" w:hAnsi="Arial" w:cs="Arial"/>
          <w:sz w:val="18"/>
          <w:szCs w:val="18"/>
        </w:rPr>
      </w:pPr>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9"/>
      </w:tblGrid>
      <w:tr w:rsidR="005678BA" w14:paraId="7B9A7DA6" w14:textId="77777777">
        <w:trPr>
          <w:trHeight w:val="1701"/>
        </w:trPr>
        <w:tc>
          <w:tcPr>
            <w:tcW w:w="6979" w:type="dxa"/>
          </w:tcPr>
          <w:p w14:paraId="34D13DAF" w14:textId="77777777" w:rsidR="005678BA" w:rsidRDefault="00CC1B40">
            <w:pPr>
              <w:pStyle w:val="txt"/>
              <w:rPr>
                <w:color w:val="44546A" w:themeColor="text2"/>
                <w:sz w:val="22"/>
                <w:szCs w:val="22"/>
              </w:rPr>
            </w:pPr>
            <w:r>
              <w:rPr>
                <w:b/>
              </w:rPr>
              <w:br/>
            </w:r>
            <w:r>
              <w:rPr>
                <w:color w:val="44546A" w:themeColor="text2"/>
              </w:rPr>
              <w:t xml:space="preserve">            </w:t>
            </w:r>
            <w:r>
              <w:rPr>
                <w:noProof/>
                <w:lang w:val="en-US" w:eastAsia="zh-CN"/>
              </w:rPr>
              <w:drawing>
                <wp:inline distT="0" distB="0" distL="0" distR="0" wp14:anchorId="238FE954" wp14:editId="62F6F0B7">
                  <wp:extent cx="1518609" cy="129600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8609" cy="1296000"/>
                          </a:xfrm>
                          <a:prstGeom prst="rect">
                            <a:avLst/>
                          </a:prstGeom>
                          <a:noFill/>
                          <a:ln>
                            <a:noFill/>
                          </a:ln>
                        </pic:spPr>
                      </pic:pic>
                    </a:graphicData>
                  </a:graphic>
                </wp:inline>
              </w:drawing>
            </w:r>
            <w:r>
              <w:rPr>
                <w:color w:val="44546A" w:themeColor="text2"/>
              </w:rPr>
              <w:t xml:space="preserve">           </w:t>
            </w:r>
            <w:r>
              <w:rPr>
                <w:noProof/>
                <w:lang w:val="en-US" w:eastAsia="zh-CN"/>
              </w:rPr>
              <w:drawing>
                <wp:inline distT="0" distB="0" distL="0" distR="0" wp14:anchorId="367D74F9" wp14:editId="05FD3BCB">
                  <wp:extent cx="1492655" cy="129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2655" cy="1296000"/>
                          </a:xfrm>
                          <a:prstGeom prst="rect">
                            <a:avLst/>
                          </a:prstGeom>
                          <a:noFill/>
                          <a:ln>
                            <a:noFill/>
                          </a:ln>
                        </pic:spPr>
                      </pic:pic>
                    </a:graphicData>
                  </a:graphic>
                </wp:inline>
              </w:drawing>
            </w:r>
          </w:p>
          <w:p w14:paraId="5A38263C" w14:textId="77777777" w:rsidR="005678BA" w:rsidRDefault="00CC1B40">
            <w:pPr>
              <w:pStyle w:val="txt"/>
              <w:rPr>
                <w:b/>
                <w:bCs/>
                <w:sz w:val="18"/>
              </w:rPr>
            </w:pPr>
            <w:r>
              <w:rPr>
                <w:sz w:val="16"/>
              </w:rPr>
              <w:t xml:space="preserve">Source photo : Würth Elektronik </w:t>
            </w:r>
          </w:p>
          <w:p w14:paraId="371FA676" w14:textId="77777777" w:rsidR="005678BA" w:rsidRDefault="00CC1B40">
            <w:pPr>
              <w:autoSpaceDE w:val="0"/>
              <w:autoSpaceDN w:val="0"/>
              <w:adjustRightInd w:val="0"/>
              <w:rPr>
                <w:rFonts w:ascii="Arial" w:hAnsi="Arial" w:cs="Arial"/>
                <w:b/>
                <w:sz w:val="18"/>
                <w:szCs w:val="18"/>
              </w:rPr>
            </w:pPr>
            <w:r>
              <w:rPr>
                <w:rFonts w:ascii="Arial" w:hAnsi="Arial"/>
                <w:b/>
                <w:sz w:val="18"/>
              </w:rPr>
              <w:t>Les composants en comparaison : composants ferrites multicouches HF WE-CBF (à gauche), inductances céramiques</w:t>
            </w:r>
            <w:r>
              <w:rPr>
                <w:rFonts w:ascii="Arial" w:hAnsi="Arial"/>
                <w:b/>
                <w:sz w:val="18"/>
              </w:rPr>
              <w:t xml:space="preserve"> bobinées CMS WE-KI (à droite)</w:t>
            </w:r>
          </w:p>
          <w:p w14:paraId="5441CE77" w14:textId="77777777" w:rsidR="005678BA" w:rsidRDefault="005678BA">
            <w:pPr>
              <w:autoSpaceDE w:val="0"/>
              <w:autoSpaceDN w:val="0"/>
              <w:adjustRightInd w:val="0"/>
              <w:rPr>
                <w:rFonts w:ascii="Arial" w:hAnsi="Arial" w:cs="Arial"/>
                <w:b/>
                <w:bCs/>
                <w:sz w:val="18"/>
                <w:szCs w:val="18"/>
              </w:rPr>
            </w:pPr>
          </w:p>
        </w:tc>
      </w:tr>
    </w:tbl>
    <w:p w14:paraId="70D34203" w14:textId="64DE72AD" w:rsidR="005678BA" w:rsidRDefault="005678BA">
      <w:pPr>
        <w:pStyle w:val="PITextkrper"/>
        <w:rPr>
          <w:b/>
          <w:bCs/>
          <w:sz w:val="18"/>
          <w:szCs w:val="18"/>
        </w:rPr>
      </w:pPr>
    </w:p>
    <w:p w14:paraId="0276A841" w14:textId="14790B06" w:rsidR="00CC1B40" w:rsidRDefault="00CC1B40">
      <w:pPr>
        <w:rPr>
          <w:rFonts w:ascii="Arial" w:hAnsi="Arial" w:cs="Arial"/>
          <w:sz w:val="20"/>
          <w:szCs w:val="20"/>
        </w:rPr>
      </w:pPr>
      <w:r>
        <w:rPr>
          <w:rFonts w:ascii="Arial" w:hAnsi="Arial"/>
          <w:b/>
          <w:bCs/>
        </w:rPr>
        <w:br w:type="page"/>
      </w:r>
    </w:p>
    <w:p w14:paraId="02A8B1D6" w14:textId="77777777" w:rsidR="00CC1B40" w:rsidRDefault="00CC1B40" w:rsidP="00CC1B40">
      <w:pPr>
        <w:pStyle w:val="Textkrper"/>
        <w:spacing w:before="120" w:after="120" w:line="260" w:lineRule="exact"/>
        <w:jc w:val="both"/>
        <w:rPr>
          <w:rFonts w:ascii="Arial" w:hAnsi="Arial"/>
          <w:b w:val="0"/>
          <w:bCs w:val="0"/>
        </w:rPr>
      </w:pPr>
    </w:p>
    <w:p w14:paraId="1D218933" w14:textId="77777777" w:rsidR="00CC1B40" w:rsidRDefault="00CC1B40" w:rsidP="00CC1B40">
      <w:pPr>
        <w:pStyle w:val="PITextkrper"/>
        <w:pBdr>
          <w:top w:val="single" w:sz="4" w:space="1" w:color="auto"/>
        </w:pBdr>
        <w:spacing w:before="240"/>
        <w:rPr>
          <w:b/>
          <w:sz w:val="18"/>
          <w:szCs w:val="18"/>
        </w:rPr>
      </w:pPr>
    </w:p>
    <w:p w14:paraId="2A993D3A" w14:textId="77777777" w:rsidR="00CC1B40" w:rsidRDefault="00CC1B40" w:rsidP="00CC1B40">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53CEA06D" w14:textId="77777777" w:rsidR="00CC1B40" w:rsidRPr="008A7283" w:rsidRDefault="00CC1B40" w:rsidP="00CC1B40">
      <w:pPr>
        <w:pStyle w:val="Textkrper"/>
        <w:spacing w:before="120" w:after="120" w:line="276" w:lineRule="auto"/>
        <w:jc w:val="both"/>
        <w:rPr>
          <w:rFonts w:ascii="Arial" w:hAnsi="Arial"/>
          <w:b w:val="0"/>
          <w:lang w:val="es-ES"/>
        </w:rPr>
      </w:pPr>
      <w:bookmarkStart w:id="1"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1"/>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38ED64F1" w14:textId="77777777" w:rsidR="00CC1B40" w:rsidRPr="008A7283" w:rsidRDefault="00CC1B40" w:rsidP="00CC1B40">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0646483F" w14:textId="77777777" w:rsidR="00CC1B40" w:rsidRPr="008A7283" w:rsidRDefault="00CC1B40" w:rsidP="00CC1B40">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514E526E" w14:textId="77777777" w:rsidR="00CC1B40" w:rsidRPr="008A7283" w:rsidRDefault="00CC1B40" w:rsidP="00CC1B40">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44BD32FB" w14:textId="77777777" w:rsidR="00CC1B40" w:rsidRPr="008A7283" w:rsidRDefault="00CC1B40" w:rsidP="00CC1B40">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2959AC0A" w14:textId="77777777" w:rsidR="00CC1B40" w:rsidRPr="008A7283" w:rsidRDefault="00CC1B40" w:rsidP="00CC1B40">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C1B40" w:rsidRPr="008A7283" w14:paraId="39665F4F" w14:textId="77777777" w:rsidTr="004A4A2D">
        <w:tc>
          <w:tcPr>
            <w:tcW w:w="3902" w:type="dxa"/>
            <w:shd w:val="clear" w:color="auto" w:fill="auto"/>
            <w:hideMark/>
          </w:tcPr>
          <w:p w14:paraId="7029C1D7" w14:textId="77777777" w:rsidR="00CC1B40" w:rsidRPr="008A7283" w:rsidRDefault="00CC1B40" w:rsidP="004A4A2D">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0CFE3684" w14:textId="77777777" w:rsidR="00CC1B40" w:rsidRPr="008A7283" w:rsidRDefault="00CC1B40" w:rsidP="004A4A2D">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0F7E1E87" w14:textId="77777777" w:rsidR="00CC1B40" w:rsidRPr="008A7283" w:rsidRDefault="00CC1B40" w:rsidP="004A4A2D">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7465D9D6" w14:textId="77777777" w:rsidR="00CC1B40" w:rsidRPr="008A7283" w:rsidRDefault="00CC1B40" w:rsidP="004A4A2D">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0262DACF" w14:textId="77777777" w:rsidR="00CC1B40" w:rsidRDefault="00CC1B40" w:rsidP="004A4A2D">
            <w:pPr>
              <w:spacing w:before="120" w:after="120" w:line="276" w:lineRule="auto"/>
              <w:rPr>
                <w:rFonts w:ascii="Arial" w:hAnsi="Arial" w:cs="Arial"/>
                <w:bCs/>
                <w:sz w:val="20"/>
              </w:rPr>
            </w:pPr>
            <w:r>
              <w:rPr>
                <w:rFonts w:ascii="Arial" w:hAnsi="Arial" w:cs="Arial"/>
                <w:bCs/>
                <w:sz w:val="20"/>
              </w:rPr>
              <w:t>www.we-online.com</w:t>
            </w:r>
          </w:p>
          <w:p w14:paraId="2570F89D" w14:textId="77777777" w:rsidR="00CC1B40" w:rsidRPr="00591131" w:rsidRDefault="00CC1B40" w:rsidP="004A4A2D">
            <w:pPr>
              <w:rPr>
                <w:rFonts w:ascii="Arial" w:hAnsi="Arial" w:cs="Arial"/>
                <w:sz w:val="20"/>
              </w:rPr>
            </w:pPr>
          </w:p>
          <w:p w14:paraId="79FE6877" w14:textId="77777777" w:rsidR="00CC1B40" w:rsidRPr="00591131" w:rsidRDefault="00CC1B40" w:rsidP="004A4A2D">
            <w:pPr>
              <w:rPr>
                <w:rFonts w:ascii="Arial" w:hAnsi="Arial" w:cs="Arial"/>
                <w:sz w:val="20"/>
              </w:rPr>
            </w:pPr>
          </w:p>
        </w:tc>
        <w:tc>
          <w:tcPr>
            <w:tcW w:w="3193" w:type="dxa"/>
            <w:shd w:val="clear" w:color="auto" w:fill="auto"/>
            <w:hideMark/>
          </w:tcPr>
          <w:p w14:paraId="2FFA8E60" w14:textId="77777777" w:rsidR="00CC1B40" w:rsidRPr="008A7283" w:rsidRDefault="00CC1B40" w:rsidP="004A4A2D">
            <w:pPr>
              <w:pStyle w:val="Textkrper"/>
              <w:tabs>
                <w:tab w:val="left" w:pos="1065"/>
              </w:tabs>
              <w:autoSpaceDE/>
              <w:adjustRightInd/>
              <w:spacing w:before="120" w:after="120" w:line="276" w:lineRule="auto"/>
              <w:rPr>
                <w:rFonts w:ascii="Arial" w:hAnsi="Arial"/>
              </w:rPr>
            </w:pPr>
          </w:p>
          <w:p w14:paraId="3A34B724" w14:textId="77777777" w:rsidR="00CC1B40" w:rsidRPr="008A7283" w:rsidRDefault="00CC1B40" w:rsidP="004A4A2D">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1362B7BF" w14:textId="77777777" w:rsidR="00CC1B40" w:rsidRPr="008A7283" w:rsidRDefault="00CC1B40" w:rsidP="004A4A2D">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4D2FE1CB" w14:textId="77777777" w:rsidR="00CC1B40" w:rsidRPr="008A7283" w:rsidRDefault="00CC1B40" w:rsidP="004A4A2D">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40F6068E" w14:textId="77777777" w:rsidR="00CC1B40" w:rsidRPr="00591131" w:rsidRDefault="00CC1B40" w:rsidP="004A4A2D">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44E25674" w14:textId="77777777" w:rsidR="00CC1B40" w:rsidRDefault="00CC1B40">
      <w:pPr>
        <w:pStyle w:val="PITextkrper"/>
        <w:rPr>
          <w:b/>
          <w:bCs/>
          <w:sz w:val="18"/>
          <w:szCs w:val="18"/>
        </w:rPr>
      </w:pPr>
    </w:p>
    <w:sectPr w:rsidR="00CC1B40">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CE11" w14:textId="77777777" w:rsidR="005678BA" w:rsidRDefault="00CC1B40">
      <w:r>
        <w:separator/>
      </w:r>
    </w:p>
  </w:endnote>
  <w:endnote w:type="continuationSeparator" w:id="0">
    <w:p w14:paraId="53E2A1EA" w14:textId="77777777" w:rsidR="005678BA" w:rsidRDefault="00CC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515D" w14:textId="77777777" w:rsidR="005678BA" w:rsidRDefault="00CC1B40">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de-DE"/>
      </w:rPr>
      <w:t>WTH1PI1128_fr.docx</w:t>
    </w:r>
    <w:r>
      <w:rPr>
        <w:rFonts w:ascii="Arial" w:hAnsi="Arial" w:cs="Arial"/>
        <w:snapToGrid w:val="0"/>
        <w:sz w:val="16"/>
      </w:rPr>
      <w:fldChar w:fldCharType="end"/>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E1D6" w14:textId="77777777" w:rsidR="005678BA" w:rsidRDefault="00CC1B40">
      <w:r>
        <w:separator/>
      </w:r>
    </w:p>
  </w:footnote>
  <w:footnote w:type="continuationSeparator" w:id="0">
    <w:p w14:paraId="0775427F" w14:textId="77777777" w:rsidR="005678BA" w:rsidRDefault="00CC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E8EE" w14:textId="77777777" w:rsidR="005678BA" w:rsidRDefault="00CC1B40">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5BBB19C8" wp14:editId="33D9009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303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BA"/>
    <w:rsid w:val="00173E36"/>
    <w:rsid w:val="005678BA"/>
    <w:rsid w:val="00920C04"/>
    <w:rsid w:val="00CC1B4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0A3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22461425">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com/ANP101"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we-online.com/ANP1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online.com/web/en/electronic_components/produkte_pb/produktinnovationen/redexpert.php"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DD7A-FB3E-4246-863C-55BB2774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4469</Characters>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5128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2022-10-19T10:48:00Z</dcterms:created>
  <dcterms:modified xsi:type="dcterms:W3CDTF">2022-10-19T10:51:00Z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