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E16DE" w14:textId="77777777" w:rsidR="005678BA" w:rsidRDefault="00CC1B40">
      <w:pPr>
        <w:pStyle w:val="berschrift1"/>
        <w:spacing w:before="720" w:after="720" w:line="260" w:lineRule="exact"/>
        <w:rPr>
          <w:sz w:val="20"/>
        </w:rPr>
      </w:pPr>
      <w:r>
        <w:rPr>
          <w:sz w:val="20"/>
        </w:rPr>
        <w:t>COMMUNIQUÉ DE PRESSE</w:t>
      </w:r>
    </w:p>
    <w:p w14:paraId="61900987" w14:textId="77777777" w:rsidR="005678BA" w:rsidRDefault="00CC1B40">
      <w:pPr>
        <w:pStyle w:val="Kopfzeile"/>
        <w:tabs>
          <w:tab w:val="clear" w:pos="4536"/>
          <w:tab w:val="clear" w:pos="9072"/>
        </w:tabs>
        <w:spacing w:before="360" w:after="360"/>
        <w:rPr>
          <w:rFonts w:ascii="Arial" w:hAnsi="Arial" w:cs="Arial"/>
          <w:b/>
          <w:bCs/>
        </w:rPr>
      </w:pPr>
      <w:r>
        <w:rPr>
          <w:rFonts w:ascii="Arial" w:hAnsi="Arial"/>
          <w:b/>
        </w:rPr>
        <w:t xml:space="preserve">Würth Elektronik publie sa note d’application sur la communication sans fil </w:t>
      </w:r>
    </w:p>
    <w:p w14:paraId="6DCA79CD" w14:textId="504AA5A5" w:rsidR="005678BA" w:rsidRDefault="00CC1B40">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Découplage de l’alimentation HF et </w:t>
      </w:r>
      <w:r>
        <w:rPr>
          <w:rFonts w:ascii="Arial" w:hAnsi="Arial"/>
          <w:b/>
          <w:color w:val="000000"/>
          <w:sz w:val="36"/>
        </w:rPr>
        <w:t>D</w:t>
      </w:r>
      <w:r>
        <w:rPr>
          <w:rFonts w:ascii="Arial" w:hAnsi="Arial"/>
          <w:b/>
          <w:color w:val="000000"/>
          <w:sz w:val="36"/>
        </w:rPr>
        <w:t xml:space="preserve">C en pratique </w:t>
      </w:r>
    </w:p>
    <w:p w14:paraId="0BAF8DAF" w14:textId="6BFD724D" w:rsidR="005678BA" w:rsidRDefault="00CC1B40">
      <w:pPr>
        <w:pStyle w:val="Textkrper"/>
        <w:spacing w:before="120" w:after="120" w:line="260" w:lineRule="exact"/>
        <w:jc w:val="both"/>
        <w:rPr>
          <w:rFonts w:ascii="Arial" w:hAnsi="Arial"/>
          <w:color w:val="000000"/>
        </w:rPr>
      </w:pPr>
      <w:r>
        <w:rPr>
          <w:rFonts w:ascii="Arial" w:hAnsi="Arial"/>
          <w:color w:val="000000"/>
        </w:rPr>
        <w:t>Waldenburg</w:t>
      </w:r>
      <w:r w:rsidR="00173E36">
        <w:rPr>
          <w:rFonts w:ascii="Arial" w:hAnsi="Arial"/>
          <w:color w:val="000000"/>
        </w:rPr>
        <w:t xml:space="preserve"> (Allemagne)</w:t>
      </w:r>
      <w:r>
        <w:rPr>
          <w:rFonts w:ascii="Arial" w:hAnsi="Arial"/>
          <w:color w:val="000000"/>
        </w:rPr>
        <w:t xml:space="preserve">, </w:t>
      </w:r>
      <w:r w:rsidR="00173E36">
        <w:rPr>
          <w:rFonts w:ascii="Arial" w:hAnsi="Arial"/>
          <w:color w:val="000000"/>
        </w:rPr>
        <w:t>le 20 octobre</w:t>
      </w:r>
      <w:r>
        <w:rPr>
          <w:rFonts w:ascii="Arial" w:hAnsi="Arial"/>
          <w:color w:val="000000"/>
        </w:rPr>
        <w:t xml:space="preserve"> 2022 – Les notes d’application de Würth Elektronik vous fournissent des informations solides et des conseils pratiques. Pas seulement pour les développeurs – la dernière version ANP101 : </w:t>
      </w:r>
      <w:hyperlink r:id="rId8" w:history="1">
        <w:r>
          <w:rPr>
            <w:rStyle w:val="Hyperlink"/>
            <w:rFonts w:ascii="Arial" w:hAnsi="Arial"/>
          </w:rPr>
          <w:t>ampl</w:t>
        </w:r>
        <w:r>
          <w:rPr>
            <w:rStyle w:val="Hyperlink"/>
            <w:rFonts w:ascii="Arial" w:hAnsi="Arial"/>
          </w:rPr>
          <w:t xml:space="preserve">ificateur </w:t>
        </w:r>
        <w:r>
          <w:rPr>
            <w:rStyle w:val="Hyperlink"/>
            <w:rFonts w:ascii="Arial" w:hAnsi="Arial"/>
          </w:rPr>
          <w:t xml:space="preserve">pour </w:t>
        </w:r>
        <w:proofErr w:type="spellStart"/>
        <w:r>
          <w:rPr>
            <w:rStyle w:val="Hyperlink"/>
            <w:rFonts w:ascii="Arial" w:hAnsi="Arial"/>
          </w:rPr>
          <w:t>application</w:t>
        </w:r>
        <w:r>
          <w:rPr>
            <w:rStyle w:val="Hyperlink"/>
            <w:rFonts w:ascii="Arial" w:hAnsi="Arial"/>
          </w:rPr>
          <w:t>RF</w:t>
        </w:r>
        <w:proofErr w:type="spellEnd"/>
        <w:r>
          <w:rPr>
            <w:rStyle w:val="Hyperlink"/>
            <w:rFonts w:ascii="Arial" w:hAnsi="Arial"/>
          </w:rPr>
          <w:t xml:space="preserve"> (Block Gain Amplifier)</w:t>
        </w:r>
        <w:r>
          <w:rPr>
            <w:rStyle w:val="Hyperlink"/>
            <w:rFonts w:ascii="Arial" w:hAnsi="Arial"/>
          </w:rPr>
          <w:t xml:space="preserve"> avec perle de ferrite multicouche intégrée pour un </w:t>
        </w:r>
        <w:r>
          <w:rPr>
            <w:rStyle w:val="Hyperlink"/>
            <w:rFonts w:ascii="Arial" w:hAnsi="Arial"/>
          </w:rPr>
          <w:t xml:space="preserve">découplage efficace </w:t>
        </w:r>
        <w:r>
          <w:rPr>
            <w:rStyle w:val="Hyperlink"/>
            <w:rFonts w:ascii="Arial" w:hAnsi="Arial"/>
          </w:rPr>
          <w:t>à large bande</w:t>
        </w:r>
      </w:hyperlink>
      <w:r>
        <w:rPr>
          <w:rFonts w:ascii="Arial" w:hAnsi="Arial"/>
          <w:color w:val="000000"/>
        </w:rPr>
        <w:t xml:space="preserve"> traite de la manière dont les caractéristiques de transmission d’un amplificateur RF </w:t>
      </w:r>
      <w:r>
        <w:rPr>
          <w:rFonts w:ascii="Arial" w:hAnsi="Arial"/>
          <w:color w:val="000000"/>
        </w:rPr>
        <w:t xml:space="preserve">peuvent être renforcées et améliorées par le bon choix de composants et </w:t>
      </w:r>
      <w:proofErr w:type="gramStart"/>
      <w:r>
        <w:rPr>
          <w:rFonts w:ascii="Arial" w:hAnsi="Arial"/>
          <w:color w:val="000000"/>
        </w:rPr>
        <w:t>un</w:t>
      </w:r>
      <w:r>
        <w:rPr>
          <w:rFonts w:ascii="Arial" w:hAnsi="Arial"/>
          <w:color w:val="000000"/>
        </w:rPr>
        <w:t xml:space="preserve">e implantation </w:t>
      </w:r>
      <w:r>
        <w:rPr>
          <w:rFonts w:ascii="Arial" w:hAnsi="Arial"/>
          <w:color w:val="000000"/>
        </w:rPr>
        <w:t>optimal</w:t>
      </w:r>
      <w:proofErr w:type="gramEnd"/>
      <w:r>
        <w:rPr>
          <w:rFonts w:ascii="Arial" w:hAnsi="Arial"/>
          <w:color w:val="000000"/>
        </w:rPr>
        <w:t>.</w:t>
      </w:r>
    </w:p>
    <w:p w14:paraId="68DB2EBD" w14:textId="2232499B" w:rsidR="005678BA" w:rsidRDefault="00CC1B40">
      <w:pPr>
        <w:pStyle w:val="Textkrper"/>
        <w:spacing w:before="120" w:after="120" w:line="260" w:lineRule="exact"/>
        <w:jc w:val="both"/>
        <w:rPr>
          <w:rFonts w:ascii="Arial" w:hAnsi="Arial"/>
          <w:b w:val="0"/>
          <w:bCs w:val="0"/>
        </w:rPr>
      </w:pPr>
      <w:r>
        <w:rPr>
          <w:rFonts w:ascii="Arial" w:hAnsi="Arial"/>
          <w:b w:val="0"/>
        </w:rPr>
        <w:t>Des systèmes 5G aux applications radio et antennes : la communication sans fil nous accompagne dans notre vie quotidienne. La demande d’amplificateurs universels à haute fréquence est donc élevée. En sélectionnant les composants passifs optimaux, les carac</w:t>
      </w:r>
      <w:r>
        <w:rPr>
          <w:rFonts w:ascii="Arial" w:hAnsi="Arial"/>
          <w:b w:val="0"/>
        </w:rPr>
        <w:t>téristiques</w:t>
      </w:r>
      <w:r w:rsidR="00173E36">
        <w:rPr>
          <w:rFonts w:ascii="Arial" w:hAnsi="Arial"/>
          <w:b w:val="0"/>
        </w:rPr>
        <w:t xml:space="preserve"> </w:t>
      </w:r>
      <w:r>
        <w:rPr>
          <w:rFonts w:ascii="Arial" w:hAnsi="Arial"/>
          <w:b w:val="0"/>
        </w:rPr>
        <w:t>de</w:t>
      </w:r>
      <w:r>
        <w:rPr>
          <w:rFonts w:ascii="Arial" w:hAnsi="Arial"/>
          <w:b w:val="0"/>
        </w:rPr>
        <w:t xml:space="preserve"> la ligne de transmission</w:t>
      </w:r>
      <w:r>
        <w:rPr>
          <w:rFonts w:ascii="Arial" w:hAnsi="Arial"/>
          <w:b w:val="0"/>
        </w:rPr>
        <w:t xml:space="preserve"> peuvent</w:t>
      </w:r>
      <w:r>
        <w:rPr>
          <w:rFonts w:ascii="Arial" w:hAnsi="Arial"/>
          <w:b w:val="0"/>
        </w:rPr>
        <w:t xml:space="preserve"> être adaptées au mieux à l’amplificateur</w:t>
      </w:r>
      <w:r w:rsidR="00173E36">
        <w:rPr>
          <w:rFonts w:ascii="Arial" w:hAnsi="Arial"/>
          <w:b w:val="0"/>
        </w:rPr>
        <w:t xml:space="preserve">. </w:t>
      </w:r>
      <w:r>
        <w:rPr>
          <w:rFonts w:ascii="Arial" w:hAnsi="Arial"/>
          <w:b w:val="0"/>
        </w:rPr>
        <w:t>Un agencement bien conçu améliore encore les performances RF. L’objectif</w:t>
      </w:r>
      <w:r>
        <w:rPr>
          <w:rFonts w:ascii="Arial" w:hAnsi="Arial"/>
          <w:b w:val="0"/>
        </w:rPr>
        <w:t xml:space="preserve"> est de transmettre les signaux RF et l’alimentation en courant continu sur une seule ligne sans interférence ni diaphonie. Un composant clé est l’inductance pour découpler les alimentations RF et </w:t>
      </w:r>
      <w:r>
        <w:rPr>
          <w:rFonts w:ascii="Arial" w:hAnsi="Arial"/>
          <w:b w:val="0"/>
        </w:rPr>
        <w:t>D</w:t>
      </w:r>
      <w:r>
        <w:rPr>
          <w:rFonts w:ascii="Arial" w:hAnsi="Arial"/>
          <w:b w:val="0"/>
        </w:rPr>
        <w:t>C.</w:t>
      </w:r>
    </w:p>
    <w:p w14:paraId="3B9D0365" w14:textId="77777777" w:rsidR="005678BA" w:rsidRDefault="00CC1B40">
      <w:pPr>
        <w:pStyle w:val="Textkrper"/>
        <w:spacing w:before="120" w:after="120" w:line="260" w:lineRule="exact"/>
        <w:jc w:val="both"/>
        <w:rPr>
          <w:rFonts w:ascii="Arial" w:hAnsi="Arial"/>
          <w:bCs w:val="0"/>
        </w:rPr>
      </w:pPr>
      <w:r>
        <w:rPr>
          <w:rFonts w:ascii="Arial" w:hAnsi="Arial"/>
        </w:rPr>
        <w:t>Configuration de mesure pour l’évaluation des alternat</w:t>
      </w:r>
      <w:r>
        <w:rPr>
          <w:rFonts w:ascii="Arial" w:hAnsi="Arial"/>
        </w:rPr>
        <w:t>ives de circuit</w:t>
      </w:r>
    </w:p>
    <w:p w14:paraId="11980167" w14:textId="7D2E81CE" w:rsidR="005678BA" w:rsidRDefault="00CC1B40">
      <w:pPr>
        <w:pStyle w:val="Textkrper"/>
        <w:spacing w:before="120" w:after="120" w:line="260" w:lineRule="exact"/>
        <w:jc w:val="both"/>
        <w:rPr>
          <w:rFonts w:ascii="Arial" w:hAnsi="Arial"/>
          <w:b w:val="0"/>
          <w:bCs w:val="0"/>
        </w:rPr>
      </w:pPr>
      <w:r>
        <w:rPr>
          <w:rFonts w:ascii="Arial" w:hAnsi="Arial"/>
          <w:b w:val="0"/>
        </w:rPr>
        <w:t xml:space="preserve">Outre les inductances standard, des ferrites multicouches sont également utilisées. Pour comparer et évaluer les deux alternatives, les spécialistes de Würth Elektronik ont réalisé et mesuré une carte d’évaluation d’un amplificateur RF. La </w:t>
      </w:r>
      <w:r>
        <w:rPr>
          <w:rFonts w:ascii="Arial" w:hAnsi="Arial"/>
          <w:b w:val="0"/>
        </w:rPr>
        <w:t xml:space="preserve">configuration et les résultats des mesures sont documentés avec précision dans la note d’application. </w:t>
      </w:r>
      <w:bookmarkStart w:id="0" w:name="_Hlk112598134"/>
      <w:r>
        <w:rPr>
          <w:rFonts w:ascii="Arial" w:hAnsi="Arial"/>
          <w:b w:val="0"/>
        </w:rPr>
        <w:t>ANP101</w:t>
      </w:r>
      <w:bookmarkEnd w:id="0"/>
      <w:r>
        <w:rPr>
          <w:rFonts w:ascii="Arial" w:hAnsi="Arial"/>
          <w:b w:val="0"/>
        </w:rPr>
        <w:t xml:space="preserve"> comprend également des considérations sur la conception du circuit et des recommandations pour définir les paramètres optimaux à l’aide de deux exe</w:t>
      </w:r>
      <w:r>
        <w:rPr>
          <w:rFonts w:ascii="Arial" w:hAnsi="Arial"/>
          <w:b w:val="0"/>
        </w:rPr>
        <w:t xml:space="preserve">mples d’amplificateurs RF. Elle décrit également comment les composants sont sélectionnés spécifiquement avec l’outil de simulation en ligne </w:t>
      </w:r>
      <w:hyperlink r:id="rId9" w:history="1">
        <w:r>
          <w:rPr>
            <w:rStyle w:val="Hyperlink"/>
            <w:rFonts w:ascii="Arial" w:hAnsi="Arial"/>
            <w:b w:val="0"/>
          </w:rPr>
          <w:t>REDEXPERT</w:t>
        </w:r>
      </w:hyperlink>
      <w:r>
        <w:rPr>
          <w:rFonts w:ascii="Arial" w:hAnsi="Arial"/>
          <w:b w:val="0"/>
        </w:rPr>
        <w:t xml:space="preserve"> de Würth Elektronik ou comment les condensateurs de blocage </w:t>
      </w:r>
      <w:r>
        <w:rPr>
          <w:rFonts w:ascii="Arial" w:hAnsi="Arial"/>
          <w:b w:val="0"/>
        </w:rPr>
        <w:t>D</w:t>
      </w:r>
      <w:r>
        <w:rPr>
          <w:rFonts w:ascii="Arial" w:hAnsi="Arial"/>
          <w:b w:val="0"/>
        </w:rPr>
        <w:t>C sont correctement dimensionnés.</w:t>
      </w:r>
    </w:p>
    <w:p w14:paraId="0F7A7961" w14:textId="77777777" w:rsidR="005678BA" w:rsidRDefault="00CC1B40">
      <w:pPr>
        <w:pStyle w:val="Textkrper"/>
        <w:spacing w:before="120" w:after="120" w:line="260" w:lineRule="exact"/>
        <w:rPr>
          <w:rFonts w:ascii="Arial" w:hAnsi="Arial"/>
          <w:b w:val="0"/>
          <w:bCs w:val="0"/>
        </w:rPr>
      </w:pPr>
      <w:r>
        <w:rPr>
          <w:rFonts w:ascii="Arial" w:hAnsi="Arial"/>
          <w:b w:val="0"/>
        </w:rPr>
        <w:t xml:space="preserve">La note d’application ANP101 est disponible sur </w:t>
      </w:r>
      <w:hyperlink r:id="rId10" w:history="1">
        <w:r>
          <w:rPr>
            <w:rStyle w:val="Hyperlink"/>
            <w:rFonts w:ascii="Arial" w:hAnsi="Arial"/>
            <w:b w:val="0"/>
          </w:rPr>
          <w:t>http://www.we-online.com/ANP101</w:t>
        </w:r>
      </w:hyperlink>
      <w:r>
        <w:rPr>
          <w:rFonts w:ascii="Arial" w:hAnsi="Arial"/>
          <w:b w:val="0"/>
        </w:rPr>
        <w:t>.</w:t>
      </w:r>
      <w:r>
        <w:rPr>
          <w:rFonts w:ascii="Arial" w:hAnsi="Arial"/>
          <w:b w:val="0"/>
        </w:rPr>
        <w:br/>
      </w:r>
    </w:p>
    <w:p w14:paraId="688F311D" w14:textId="77777777" w:rsidR="005678BA" w:rsidRDefault="00CC1B40">
      <w:pPr>
        <w:rPr>
          <w:rFonts w:ascii="Arial" w:hAnsi="Arial" w:cs="Arial"/>
          <w:sz w:val="20"/>
          <w:szCs w:val="20"/>
        </w:rPr>
      </w:pPr>
      <w:r>
        <w:br w:type="page"/>
      </w:r>
    </w:p>
    <w:p w14:paraId="585C0C30" w14:textId="77777777" w:rsidR="005678BA" w:rsidRDefault="005678BA">
      <w:pPr>
        <w:pStyle w:val="Textkrper"/>
        <w:spacing w:before="120" w:after="120" w:line="260" w:lineRule="exact"/>
        <w:jc w:val="both"/>
        <w:rPr>
          <w:rFonts w:ascii="Arial" w:hAnsi="Arial"/>
          <w:b w:val="0"/>
          <w:bCs w:val="0"/>
        </w:rPr>
      </w:pPr>
    </w:p>
    <w:p w14:paraId="5E4C616E" w14:textId="77777777" w:rsidR="005678BA" w:rsidRDefault="005678BA">
      <w:pPr>
        <w:pStyle w:val="PITextkrper"/>
        <w:pBdr>
          <w:top w:val="single" w:sz="4" w:space="1" w:color="auto"/>
        </w:pBdr>
        <w:spacing w:before="240"/>
        <w:rPr>
          <w:b/>
          <w:sz w:val="18"/>
          <w:szCs w:val="18"/>
        </w:rPr>
      </w:pPr>
    </w:p>
    <w:p w14:paraId="5063E4F7" w14:textId="77777777" w:rsidR="00CC1B40" w:rsidRPr="00591131" w:rsidRDefault="00CC1B40" w:rsidP="00CC1B40">
      <w:pPr>
        <w:spacing w:after="120" w:line="280" w:lineRule="exact"/>
        <w:rPr>
          <w:rFonts w:ascii="Arial" w:hAnsi="Arial" w:cs="Arial"/>
          <w:b/>
          <w:bCs/>
          <w:sz w:val="18"/>
          <w:szCs w:val="18"/>
        </w:rPr>
      </w:pPr>
      <w:r w:rsidRPr="00591131">
        <w:rPr>
          <w:rFonts w:ascii="Arial" w:hAnsi="Arial"/>
          <w:b/>
          <w:sz w:val="18"/>
        </w:rPr>
        <w:t>Images disponibles</w:t>
      </w:r>
    </w:p>
    <w:p w14:paraId="2353BE16" w14:textId="77777777" w:rsidR="00CC1B40" w:rsidRPr="00591131" w:rsidRDefault="00CC1B40" w:rsidP="00CC1B40">
      <w:pPr>
        <w:spacing w:after="120" w:line="280" w:lineRule="exact"/>
        <w:rPr>
          <w:rStyle w:val="Hyperlink"/>
          <w:rFonts w:ascii="Arial" w:hAnsi="Arial"/>
          <w:sz w:val="18"/>
        </w:rPr>
      </w:pPr>
      <w:r w:rsidRPr="00591131">
        <w:rPr>
          <w:rFonts w:ascii="Arial" w:hAnsi="Arial"/>
          <w:sz w:val="18"/>
        </w:rPr>
        <w:t>Les images suivantes peuvent être téléchargées sur Internet pour impression :</w:t>
      </w:r>
      <w:r w:rsidRPr="00591131">
        <w:t xml:space="preserve"> </w:t>
      </w:r>
      <w:hyperlink r:id="rId11" w:history="1">
        <w:r>
          <w:rPr>
            <w:rStyle w:val="Hyperlink"/>
            <w:rFonts w:ascii="Arial" w:hAnsi="Arial" w:cs="Arial"/>
            <w:sz w:val="18"/>
            <w:szCs w:val="18"/>
            <w:lang w:val="en-US"/>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5678BA" w14:paraId="479F7BB7" w14:textId="77777777">
        <w:trPr>
          <w:trHeight w:val="1701"/>
        </w:trPr>
        <w:tc>
          <w:tcPr>
            <w:tcW w:w="3510" w:type="dxa"/>
          </w:tcPr>
          <w:p w14:paraId="1F95CB27" w14:textId="77777777" w:rsidR="005678BA" w:rsidRDefault="00CC1B40">
            <w:pPr>
              <w:pStyle w:val="txt"/>
              <w:rPr>
                <w:b/>
                <w:bCs/>
                <w:sz w:val="18"/>
              </w:rPr>
            </w:pPr>
            <w:r>
              <w:rPr>
                <w:b/>
              </w:rPr>
              <w:br/>
            </w:r>
            <w:r>
              <w:rPr>
                <w:noProof/>
                <w:lang w:val="en-US" w:eastAsia="zh-CN"/>
              </w:rPr>
              <w:drawing>
                <wp:inline distT="0" distB="0" distL="0" distR="0" wp14:anchorId="73985EE7" wp14:editId="377DC0D3">
                  <wp:extent cx="1933387" cy="12960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33387" cy="1296000"/>
                          </a:xfrm>
                          <a:prstGeom prst="rect">
                            <a:avLst/>
                          </a:prstGeom>
                          <a:noFill/>
                          <a:ln>
                            <a:noFill/>
                          </a:ln>
                        </pic:spPr>
                      </pic:pic>
                    </a:graphicData>
                  </a:graphic>
                </wp:inline>
              </w:drawing>
            </w:r>
            <w:r>
              <w:rPr>
                <w:b/>
                <w:sz w:val="18"/>
              </w:rPr>
              <w:br/>
            </w:r>
            <w:r>
              <w:rPr>
                <w:sz w:val="16"/>
              </w:rPr>
              <w:t xml:space="preserve">Source photo : Würth </w:t>
            </w:r>
            <w:proofErr w:type="spellStart"/>
            <w:r>
              <w:rPr>
                <w:sz w:val="16"/>
              </w:rPr>
              <w:t>Elektronik</w:t>
            </w:r>
            <w:proofErr w:type="spellEnd"/>
            <w:r>
              <w:rPr>
                <w:sz w:val="16"/>
              </w:rPr>
              <w:t xml:space="preserve"> </w:t>
            </w:r>
          </w:p>
          <w:p w14:paraId="509F482C" w14:textId="77777777" w:rsidR="005678BA" w:rsidRDefault="00CC1B40">
            <w:pPr>
              <w:autoSpaceDE w:val="0"/>
              <w:autoSpaceDN w:val="0"/>
              <w:adjustRightInd w:val="0"/>
              <w:rPr>
                <w:rFonts w:ascii="Arial" w:hAnsi="Arial" w:cs="Arial"/>
                <w:b/>
                <w:sz w:val="18"/>
                <w:szCs w:val="18"/>
              </w:rPr>
            </w:pPr>
            <w:r>
              <w:rPr>
                <w:rFonts w:ascii="Arial" w:hAnsi="Arial"/>
                <w:b/>
                <w:sz w:val="18"/>
              </w:rPr>
              <w:t>Des connaissances professionnelles pour les développeurs RF : Note d’application ANP101 de Würth Elektronik</w:t>
            </w:r>
          </w:p>
          <w:p w14:paraId="09A091E2" w14:textId="77777777" w:rsidR="005678BA" w:rsidRDefault="005678BA">
            <w:pPr>
              <w:autoSpaceDE w:val="0"/>
              <w:autoSpaceDN w:val="0"/>
              <w:adjustRightInd w:val="0"/>
              <w:rPr>
                <w:rFonts w:ascii="Arial" w:hAnsi="Arial" w:cs="Arial"/>
                <w:b/>
                <w:bCs/>
                <w:sz w:val="18"/>
                <w:szCs w:val="18"/>
              </w:rPr>
            </w:pPr>
          </w:p>
        </w:tc>
        <w:tc>
          <w:tcPr>
            <w:tcW w:w="3510" w:type="dxa"/>
          </w:tcPr>
          <w:p w14:paraId="70095308" w14:textId="77777777" w:rsidR="005678BA" w:rsidRDefault="00CC1B40">
            <w:pPr>
              <w:pStyle w:val="txt"/>
              <w:rPr>
                <w:sz w:val="16"/>
              </w:rPr>
            </w:pPr>
            <w:r>
              <w:rPr>
                <w:b/>
              </w:rPr>
              <w:br/>
            </w:r>
            <w:r>
              <w:rPr>
                <w:noProof/>
                <w:color w:val="44546A" w:themeColor="text2"/>
                <w:lang w:val="en-US" w:eastAsia="zh-CN"/>
              </w:rPr>
              <w:drawing>
                <wp:inline distT="0" distB="0" distL="0" distR="0" wp14:anchorId="6E5B30B2" wp14:editId="3B6818E5">
                  <wp:extent cx="2144367" cy="1296000"/>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bbildung1 (1).jpg"/>
                          <pic:cNvPicPr/>
                        </pic:nvPicPr>
                        <pic:blipFill rotWithShape="1">
                          <a:blip r:embed="rId13" cstate="print">
                            <a:extLst>
                              <a:ext uri="{28A0092B-C50C-407E-A947-70E740481C1C}">
                                <a14:useLocalDpi xmlns:a14="http://schemas.microsoft.com/office/drawing/2010/main" val="0"/>
                              </a:ext>
                            </a:extLst>
                          </a:blip>
                          <a:srcRect l="9351" t="12552" r="9351" b="13965"/>
                          <a:stretch/>
                        </pic:blipFill>
                        <pic:spPr bwMode="auto">
                          <a:xfrm>
                            <a:off x="0" y="0"/>
                            <a:ext cx="2144367" cy="1296000"/>
                          </a:xfrm>
                          <a:prstGeom prst="rect">
                            <a:avLst/>
                          </a:prstGeom>
                          <a:ln>
                            <a:noFill/>
                          </a:ln>
                          <a:extLst>
                            <a:ext uri="{53640926-AAD7-44D8-BBD7-CCE9431645EC}">
                              <a14:shadowObscured xmlns:a14="http://schemas.microsoft.com/office/drawing/2010/main"/>
                            </a:ext>
                          </a:extLst>
                        </pic:spPr>
                      </pic:pic>
                    </a:graphicData>
                  </a:graphic>
                </wp:inline>
              </w:drawing>
            </w:r>
            <w:r>
              <w:rPr>
                <w:sz w:val="16"/>
              </w:rPr>
              <w:t xml:space="preserve">Source photo : Würth Elektronik </w:t>
            </w:r>
          </w:p>
          <w:p w14:paraId="30C34222" w14:textId="77777777" w:rsidR="005678BA" w:rsidRDefault="00CC1B40">
            <w:pPr>
              <w:autoSpaceDE w:val="0"/>
              <w:autoSpaceDN w:val="0"/>
              <w:adjustRightInd w:val="0"/>
              <w:rPr>
                <w:rFonts w:ascii="Arial" w:hAnsi="Arial" w:cs="Arial"/>
                <w:b/>
                <w:sz w:val="18"/>
                <w:szCs w:val="18"/>
              </w:rPr>
            </w:pPr>
            <w:r>
              <w:rPr>
                <w:rFonts w:ascii="Arial" w:hAnsi="Arial"/>
                <w:b/>
                <w:sz w:val="18"/>
              </w:rPr>
              <w:t>Carte d’évaluation pour amplificateur à bloc de gain RF : La configuration et l</w:t>
            </w:r>
            <w:r>
              <w:rPr>
                <w:rFonts w:ascii="Arial" w:hAnsi="Arial"/>
                <w:b/>
                <w:sz w:val="18"/>
              </w:rPr>
              <w:t>es résultats des mesures sont documentés avec précision dans la note d’application.</w:t>
            </w:r>
          </w:p>
          <w:p w14:paraId="4DCCDF4D" w14:textId="77777777" w:rsidR="005678BA" w:rsidRDefault="005678BA">
            <w:pPr>
              <w:pStyle w:val="txt"/>
              <w:rPr>
                <w:b/>
              </w:rPr>
            </w:pPr>
          </w:p>
        </w:tc>
      </w:tr>
    </w:tbl>
    <w:p w14:paraId="4C5A0727" w14:textId="77777777" w:rsidR="005678BA" w:rsidRDefault="005678BA">
      <w:pPr>
        <w:spacing w:after="120" w:line="280" w:lineRule="exact"/>
        <w:rPr>
          <w:rFonts w:ascii="Arial" w:hAnsi="Arial" w:cs="Arial"/>
          <w:sz w:val="18"/>
          <w:szCs w:val="18"/>
        </w:rPr>
      </w:pPr>
    </w:p>
    <w:tbl>
      <w:tblPr>
        <w:tblW w:w="697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79"/>
      </w:tblGrid>
      <w:tr w:rsidR="005678BA" w14:paraId="7B9A7DA6" w14:textId="77777777">
        <w:trPr>
          <w:trHeight w:val="1701"/>
        </w:trPr>
        <w:tc>
          <w:tcPr>
            <w:tcW w:w="6979" w:type="dxa"/>
          </w:tcPr>
          <w:p w14:paraId="34D13DAF" w14:textId="77777777" w:rsidR="005678BA" w:rsidRDefault="00CC1B40">
            <w:pPr>
              <w:pStyle w:val="txt"/>
              <w:rPr>
                <w:color w:val="44546A" w:themeColor="text2"/>
                <w:sz w:val="22"/>
                <w:szCs w:val="22"/>
              </w:rPr>
            </w:pPr>
            <w:r>
              <w:rPr>
                <w:b/>
              </w:rPr>
              <w:br/>
            </w:r>
            <w:r>
              <w:rPr>
                <w:color w:val="44546A" w:themeColor="text2"/>
              </w:rPr>
              <w:t xml:space="preserve">            </w:t>
            </w:r>
            <w:r>
              <w:rPr>
                <w:noProof/>
                <w:lang w:val="en-US" w:eastAsia="zh-CN"/>
              </w:rPr>
              <w:drawing>
                <wp:inline distT="0" distB="0" distL="0" distR="0" wp14:anchorId="238FE954" wp14:editId="62F6F0B7">
                  <wp:extent cx="1518609" cy="1296000"/>
                  <wp:effectExtent l="0" t="0" r="5715"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8609" cy="1296000"/>
                          </a:xfrm>
                          <a:prstGeom prst="rect">
                            <a:avLst/>
                          </a:prstGeom>
                          <a:noFill/>
                          <a:ln>
                            <a:noFill/>
                          </a:ln>
                        </pic:spPr>
                      </pic:pic>
                    </a:graphicData>
                  </a:graphic>
                </wp:inline>
              </w:drawing>
            </w:r>
            <w:r>
              <w:rPr>
                <w:color w:val="44546A" w:themeColor="text2"/>
              </w:rPr>
              <w:t xml:space="preserve">           </w:t>
            </w:r>
            <w:r>
              <w:rPr>
                <w:noProof/>
                <w:lang w:val="en-US" w:eastAsia="zh-CN"/>
              </w:rPr>
              <w:drawing>
                <wp:inline distT="0" distB="0" distL="0" distR="0" wp14:anchorId="367D74F9" wp14:editId="05FD3BCB">
                  <wp:extent cx="1492655" cy="1296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2655" cy="1296000"/>
                          </a:xfrm>
                          <a:prstGeom prst="rect">
                            <a:avLst/>
                          </a:prstGeom>
                          <a:noFill/>
                          <a:ln>
                            <a:noFill/>
                          </a:ln>
                        </pic:spPr>
                      </pic:pic>
                    </a:graphicData>
                  </a:graphic>
                </wp:inline>
              </w:drawing>
            </w:r>
          </w:p>
          <w:p w14:paraId="5A38263C" w14:textId="77777777" w:rsidR="005678BA" w:rsidRDefault="00CC1B40">
            <w:pPr>
              <w:pStyle w:val="txt"/>
              <w:rPr>
                <w:b/>
                <w:bCs/>
                <w:sz w:val="18"/>
              </w:rPr>
            </w:pPr>
            <w:r>
              <w:rPr>
                <w:sz w:val="16"/>
              </w:rPr>
              <w:t xml:space="preserve">Source photo : Würth Elektronik </w:t>
            </w:r>
          </w:p>
          <w:p w14:paraId="371FA676" w14:textId="77777777" w:rsidR="005678BA" w:rsidRDefault="00CC1B40">
            <w:pPr>
              <w:autoSpaceDE w:val="0"/>
              <w:autoSpaceDN w:val="0"/>
              <w:adjustRightInd w:val="0"/>
              <w:rPr>
                <w:rFonts w:ascii="Arial" w:hAnsi="Arial" w:cs="Arial"/>
                <w:b/>
                <w:sz w:val="18"/>
                <w:szCs w:val="18"/>
              </w:rPr>
            </w:pPr>
            <w:r>
              <w:rPr>
                <w:rFonts w:ascii="Arial" w:hAnsi="Arial"/>
                <w:b/>
                <w:sz w:val="18"/>
              </w:rPr>
              <w:t>Les composants en comparaison : composants ferrites multicouches HF WE-CBF (à gauche), inductances céramiques</w:t>
            </w:r>
            <w:r>
              <w:rPr>
                <w:rFonts w:ascii="Arial" w:hAnsi="Arial"/>
                <w:b/>
                <w:sz w:val="18"/>
              </w:rPr>
              <w:t xml:space="preserve"> bobinées CMS WE-KI (à droite)</w:t>
            </w:r>
          </w:p>
          <w:p w14:paraId="5441CE77" w14:textId="77777777" w:rsidR="005678BA" w:rsidRDefault="005678BA">
            <w:pPr>
              <w:autoSpaceDE w:val="0"/>
              <w:autoSpaceDN w:val="0"/>
              <w:adjustRightInd w:val="0"/>
              <w:rPr>
                <w:rFonts w:ascii="Arial" w:hAnsi="Arial" w:cs="Arial"/>
                <w:b/>
                <w:bCs/>
                <w:sz w:val="18"/>
                <w:szCs w:val="18"/>
              </w:rPr>
            </w:pPr>
          </w:p>
        </w:tc>
      </w:tr>
    </w:tbl>
    <w:p w14:paraId="70D34203" w14:textId="64DE72AD" w:rsidR="005678BA" w:rsidRDefault="005678BA">
      <w:pPr>
        <w:pStyle w:val="PITextkrper"/>
        <w:rPr>
          <w:b/>
          <w:bCs/>
          <w:sz w:val="18"/>
          <w:szCs w:val="18"/>
        </w:rPr>
      </w:pPr>
    </w:p>
    <w:p w14:paraId="0276A841" w14:textId="14790B06" w:rsidR="00CC1B40" w:rsidRDefault="00CC1B40">
      <w:pPr>
        <w:rPr>
          <w:rFonts w:ascii="Arial" w:hAnsi="Arial" w:cs="Arial"/>
          <w:sz w:val="20"/>
          <w:szCs w:val="20"/>
        </w:rPr>
      </w:pPr>
      <w:r>
        <w:rPr>
          <w:rFonts w:ascii="Arial" w:hAnsi="Arial"/>
          <w:b/>
          <w:bCs/>
        </w:rPr>
        <w:br w:type="page"/>
      </w:r>
    </w:p>
    <w:p w14:paraId="02A8B1D6" w14:textId="77777777" w:rsidR="00CC1B40" w:rsidRDefault="00CC1B40" w:rsidP="00CC1B40">
      <w:pPr>
        <w:pStyle w:val="Textkrper"/>
        <w:spacing w:before="120" w:after="120" w:line="260" w:lineRule="exact"/>
        <w:jc w:val="both"/>
        <w:rPr>
          <w:rFonts w:ascii="Arial" w:hAnsi="Arial"/>
          <w:b w:val="0"/>
          <w:bCs w:val="0"/>
        </w:rPr>
      </w:pPr>
    </w:p>
    <w:p w14:paraId="1D218933" w14:textId="77777777" w:rsidR="00CC1B40" w:rsidRDefault="00CC1B40" w:rsidP="00CC1B40">
      <w:pPr>
        <w:pStyle w:val="PITextkrper"/>
        <w:pBdr>
          <w:top w:val="single" w:sz="4" w:space="1" w:color="auto"/>
        </w:pBdr>
        <w:spacing w:before="240"/>
        <w:rPr>
          <w:b/>
          <w:sz w:val="18"/>
          <w:szCs w:val="18"/>
        </w:rPr>
      </w:pPr>
    </w:p>
    <w:p w14:paraId="2A993D3A" w14:textId="77777777" w:rsidR="00CC1B40" w:rsidRDefault="00CC1B40" w:rsidP="00CC1B40">
      <w:pPr>
        <w:pStyle w:val="Textkrper"/>
        <w:spacing w:before="120" w:after="120" w:line="276" w:lineRule="auto"/>
        <w:rPr>
          <w:rFonts w:ascii="Arial" w:hAnsi="Arial"/>
        </w:rPr>
      </w:pPr>
      <w:r>
        <w:rPr>
          <w:rFonts w:ascii="Arial" w:hAnsi="Arial"/>
        </w:rPr>
        <w:t xml:space="preserve">À propos du groupe Würth </w:t>
      </w:r>
      <w:proofErr w:type="spellStart"/>
      <w:r>
        <w:rPr>
          <w:rFonts w:ascii="Arial" w:hAnsi="Arial"/>
        </w:rPr>
        <w:t>Elektronik</w:t>
      </w:r>
      <w:proofErr w:type="spellEnd"/>
      <w:r>
        <w:rPr>
          <w:rFonts w:ascii="Arial" w:hAnsi="Arial"/>
        </w:rPr>
        <w:t xml:space="preserve"> </w:t>
      </w:r>
      <w:proofErr w:type="spellStart"/>
      <w:r>
        <w:rPr>
          <w:rFonts w:ascii="Arial" w:hAnsi="Arial"/>
        </w:rPr>
        <w:t>eiSos</w:t>
      </w:r>
      <w:proofErr w:type="spellEnd"/>
      <w:r>
        <w:rPr>
          <w:rFonts w:ascii="Arial" w:hAnsi="Arial"/>
        </w:rPr>
        <w:t xml:space="preserve"> </w:t>
      </w:r>
    </w:p>
    <w:p w14:paraId="53CEA06D" w14:textId="77777777" w:rsidR="00CC1B40" w:rsidRPr="008A7283" w:rsidRDefault="00CC1B40" w:rsidP="00CC1B40">
      <w:pPr>
        <w:pStyle w:val="Textkrper"/>
        <w:spacing w:before="120" w:after="120" w:line="276" w:lineRule="auto"/>
        <w:jc w:val="both"/>
        <w:rPr>
          <w:rFonts w:ascii="Arial" w:hAnsi="Arial"/>
          <w:b w:val="0"/>
          <w:lang w:val="es-ES"/>
        </w:rPr>
      </w:pPr>
      <w:bookmarkStart w:id="1" w:name="_Hlk529547556"/>
      <w:r>
        <w:rPr>
          <w:rFonts w:ascii="Arial" w:hAnsi="Arial"/>
          <w:b w:val="0"/>
        </w:rPr>
        <w:t xml:space="preserve">Le groupe Würth </w:t>
      </w:r>
      <w:proofErr w:type="spellStart"/>
      <w:r>
        <w:rPr>
          <w:rFonts w:ascii="Arial" w:hAnsi="Arial"/>
          <w:b w:val="0"/>
        </w:rPr>
        <w:t>Elektronik</w:t>
      </w:r>
      <w:proofErr w:type="spellEnd"/>
      <w:r>
        <w:rPr>
          <w:rFonts w:ascii="Arial" w:hAnsi="Arial"/>
          <w:b w:val="0"/>
        </w:rPr>
        <w:t xml:space="preserve"> </w:t>
      </w:r>
      <w:proofErr w:type="spellStart"/>
      <w:r>
        <w:rPr>
          <w:rFonts w:ascii="Arial" w:hAnsi="Arial"/>
          <w:b w:val="0"/>
        </w:rPr>
        <w:t>eiSos</w:t>
      </w:r>
      <w:proofErr w:type="spellEnd"/>
      <w:r>
        <w:rPr>
          <w:rFonts w:ascii="Arial" w:hAnsi="Arial"/>
          <w:b w:val="0"/>
        </w:rPr>
        <w:t xml:space="preserve"> est un fabricant de composants électroniques et électromécaniques pour l'industrie électronique et un facilitateur technologique pour des solutions électroniques pionnières.</w:t>
      </w:r>
      <w:bookmarkEnd w:id="1"/>
      <w:r>
        <w:rPr>
          <w:rFonts w:ascii="Arial" w:hAnsi="Arial"/>
          <w:b w:val="0"/>
        </w:rPr>
        <w:t xml:space="preserve"> </w:t>
      </w:r>
      <w:proofErr w:type="spellStart"/>
      <w:r w:rsidRPr="008A7283">
        <w:rPr>
          <w:rFonts w:ascii="Arial" w:hAnsi="Arial"/>
          <w:b w:val="0"/>
          <w:lang w:val="en-US"/>
        </w:rPr>
        <w:t>Würth</w:t>
      </w:r>
      <w:proofErr w:type="spellEnd"/>
      <w:r w:rsidRPr="008A7283">
        <w:rPr>
          <w:rFonts w:ascii="Arial" w:hAnsi="Arial"/>
          <w:b w:val="0"/>
          <w:lang w:val="en-US"/>
        </w:rPr>
        <w:t xml:space="preserve"> </w:t>
      </w:r>
      <w:proofErr w:type="spellStart"/>
      <w:r w:rsidRPr="008A7283">
        <w:rPr>
          <w:rFonts w:ascii="Arial" w:hAnsi="Arial"/>
          <w:b w:val="0"/>
          <w:lang w:val="en-US"/>
        </w:rPr>
        <w:t>Elektronik</w:t>
      </w:r>
      <w:proofErr w:type="spellEnd"/>
      <w:r w:rsidRPr="008A7283">
        <w:rPr>
          <w:rFonts w:ascii="Arial" w:hAnsi="Arial"/>
          <w:b w:val="0"/>
          <w:lang w:val="en-US"/>
        </w:rPr>
        <w:t xml:space="preserve"> </w:t>
      </w:r>
      <w:proofErr w:type="spellStart"/>
      <w:r w:rsidRPr="008A7283">
        <w:rPr>
          <w:rFonts w:ascii="Arial" w:hAnsi="Arial"/>
          <w:b w:val="0"/>
          <w:lang w:val="en-US"/>
        </w:rPr>
        <w:t>eiSos</w:t>
      </w:r>
      <w:proofErr w:type="spellEnd"/>
      <w:r w:rsidRPr="008A7283">
        <w:rPr>
          <w:rFonts w:ascii="Arial" w:hAnsi="Arial"/>
          <w:b w:val="0"/>
          <w:lang w:val="en-US"/>
        </w:rPr>
        <w:t xml:space="preserve">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l'un</w:t>
      </w:r>
      <w:proofErr w:type="spellEnd"/>
      <w:r w:rsidRPr="008A7283">
        <w:rPr>
          <w:rFonts w:ascii="Arial" w:hAnsi="Arial"/>
          <w:b w:val="0"/>
          <w:lang w:val="en-US"/>
        </w:rPr>
        <w:t xml:space="preserve"> des plus grands fabricants </w:t>
      </w:r>
      <w:proofErr w:type="spellStart"/>
      <w:r w:rsidRPr="008A7283">
        <w:rPr>
          <w:rFonts w:ascii="Arial" w:hAnsi="Arial"/>
          <w:b w:val="0"/>
          <w:lang w:val="en-US"/>
        </w:rPr>
        <w:t>européens</w:t>
      </w:r>
      <w:proofErr w:type="spellEnd"/>
      <w:r w:rsidRPr="008A7283">
        <w:rPr>
          <w:rFonts w:ascii="Arial" w:hAnsi="Arial"/>
          <w:b w:val="0"/>
          <w:lang w:val="en-US"/>
        </w:rPr>
        <w:t xml:space="preserve"> de </w:t>
      </w:r>
      <w:proofErr w:type="spellStart"/>
      <w:r w:rsidRPr="008A7283">
        <w:rPr>
          <w:rFonts w:ascii="Arial" w:hAnsi="Arial"/>
          <w:b w:val="0"/>
          <w:lang w:val="en-US"/>
        </w:rPr>
        <w:t>composants</w:t>
      </w:r>
      <w:proofErr w:type="spellEnd"/>
      <w:r w:rsidRPr="008A7283">
        <w:rPr>
          <w:rFonts w:ascii="Arial" w:hAnsi="Arial"/>
          <w:b w:val="0"/>
          <w:lang w:val="en-US"/>
        </w:rPr>
        <w:t xml:space="preserve"> </w:t>
      </w:r>
      <w:proofErr w:type="spellStart"/>
      <w:r w:rsidRPr="008A7283">
        <w:rPr>
          <w:rFonts w:ascii="Arial" w:hAnsi="Arial"/>
          <w:b w:val="0"/>
          <w:lang w:val="en-US"/>
        </w:rPr>
        <w:t>passifs</w:t>
      </w:r>
      <w:proofErr w:type="spellEnd"/>
      <w:r w:rsidRPr="008A7283">
        <w:rPr>
          <w:rFonts w:ascii="Arial" w:hAnsi="Arial"/>
          <w:b w:val="0"/>
          <w:lang w:val="en-US"/>
        </w:rPr>
        <w:t xml:space="preserve"> et </w:t>
      </w:r>
      <w:proofErr w:type="spellStart"/>
      <w:r w:rsidRPr="008A7283">
        <w:rPr>
          <w:rFonts w:ascii="Arial" w:hAnsi="Arial"/>
          <w:b w:val="0"/>
          <w:lang w:val="en-US"/>
        </w:rPr>
        <w:t>est</w:t>
      </w:r>
      <w:proofErr w:type="spellEnd"/>
      <w:r w:rsidRPr="008A7283">
        <w:rPr>
          <w:rFonts w:ascii="Arial" w:hAnsi="Arial"/>
          <w:b w:val="0"/>
          <w:lang w:val="en-US"/>
        </w:rPr>
        <w:t xml:space="preserve"> </w:t>
      </w:r>
      <w:proofErr w:type="spellStart"/>
      <w:r w:rsidRPr="008A7283">
        <w:rPr>
          <w:rFonts w:ascii="Arial" w:hAnsi="Arial"/>
          <w:b w:val="0"/>
          <w:lang w:val="en-US"/>
        </w:rPr>
        <w:t>actif</w:t>
      </w:r>
      <w:proofErr w:type="spellEnd"/>
      <w:r w:rsidRPr="008A7283">
        <w:rPr>
          <w:rFonts w:ascii="Arial" w:hAnsi="Arial"/>
          <w:b w:val="0"/>
          <w:lang w:val="en-US"/>
        </w:rPr>
        <w:t xml:space="preserve"> dans 50 pays. </w:t>
      </w:r>
      <w:r w:rsidRPr="008A7283">
        <w:rPr>
          <w:rFonts w:ascii="Arial" w:hAnsi="Arial"/>
          <w:b w:val="0"/>
          <w:lang w:val="es-ES"/>
        </w:rPr>
        <w:t xml:space="preserve">Les sites de production situés en Europe, en Asie et en Amérique du Nord fournissent un nombre croissant de clients dans le monde entier. </w:t>
      </w:r>
    </w:p>
    <w:p w14:paraId="38ED64F1" w14:textId="77777777" w:rsidR="00CC1B40" w:rsidRPr="008A7283" w:rsidRDefault="00CC1B40" w:rsidP="00CC1B40">
      <w:pPr>
        <w:pStyle w:val="Textkrper"/>
        <w:spacing w:before="120" w:after="120" w:line="276" w:lineRule="auto"/>
        <w:jc w:val="both"/>
        <w:rPr>
          <w:rFonts w:ascii="Arial" w:hAnsi="Arial"/>
          <w:b w:val="0"/>
          <w:lang w:val="es-ES"/>
        </w:rPr>
      </w:pPr>
      <w:r w:rsidRPr="008A7283">
        <w:rPr>
          <w:rFonts w:ascii="Arial" w:hAnsi="Arial"/>
          <w:b w:val="0"/>
          <w:lang w:val="es-ES"/>
        </w:rPr>
        <w:t>La gamme de produits comprend : composants CEM, inductances, transformateurs, composants RF, varistances, condensateurs, résistances, quartz et oscillateurs, modules de puissance, bobines pour le transfert de puissance sans fils, diodes électroluminescentes, connecteurs, Composants pour alimentations, switchs, boutons-poussoirs, plots de connexion de puissance, porte-fusibles, capteurs et solutions pour la transmission de données sans fils.</w:t>
      </w:r>
    </w:p>
    <w:p w14:paraId="0646483F" w14:textId="77777777" w:rsidR="00CC1B40" w:rsidRPr="008A7283" w:rsidRDefault="00CC1B40" w:rsidP="00CC1B40">
      <w:pPr>
        <w:pStyle w:val="Textkrper"/>
        <w:spacing w:before="120" w:after="120" w:line="276" w:lineRule="auto"/>
        <w:jc w:val="both"/>
        <w:rPr>
          <w:rFonts w:ascii="Arial" w:hAnsi="Arial"/>
          <w:b w:val="0"/>
          <w:lang w:val="es-ES"/>
        </w:rPr>
      </w:pPr>
      <w:r w:rsidRPr="008A7283">
        <w:rPr>
          <w:rFonts w:ascii="Arial" w:hAnsi="Arial"/>
          <w:b w:val="0"/>
          <w:lang w:val="es-ES"/>
        </w:rPr>
        <w:t xml:space="preserve">L'orientation service inégalée de la société se caractérise par la disponibilité de tous les composants du catalogue en stock sans quantité minimum de commande, des échantillons gratuits et une assistance étendue via un personnel technico-commercial et des outils de sélection. </w:t>
      </w:r>
    </w:p>
    <w:p w14:paraId="514E526E" w14:textId="77777777" w:rsidR="00CC1B40" w:rsidRPr="008A7283" w:rsidRDefault="00CC1B40" w:rsidP="00CC1B40">
      <w:pPr>
        <w:pStyle w:val="Textkrper"/>
        <w:spacing w:before="120" w:after="120" w:line="276" w:lineRule="auto"/>
        <w:jc w:val="both"/>
        <w:rPr>
          <w:rFonts w:ascii="Arial" w:hAnsi="Arial"/>
          <w:b w:val="0"/>
          <w:lang w:val="es-ES"/>
        </w:rPr>
      </w:pPr>
      <w:r w:rsidRPr="008A7283">
        <w:rPr>
          <w:rFonts w:ascii="Arial" w:hAnsi="Arial"/>
          <w:b w:val="0"/>
          <w:lang w:val="es-ES"/>
        </w:rPr>
        <w:t>Würth Elektronik fait partie du groupe Würth, leader mondial sur le marché des techniques d'assemblage et de fixation. La société emploie 8000 personnes et a réalisé un chiffre d'affaires de 1,09 milliard d’euros en 2021.</w:t>
      </w:r>
    </w:p>
    <w:p w14:paraId="44BD32FB" w14:textId="77777777" w:rsidR="00CC1B40" w:rsidRPr="008A7283" w:rsidRDefault="00CC1B40" w:rsidP="00CC1B40">
      <w:pPr>
        <w:pStyle w:val="Textkrper"/>
        <w:spacing w:before="120" w:after="120" w:line="276" w:lineRule="auto"/>
        <w:jc w:val="both"/>
        <w:rPr>
          <w:rFonts w:ascii="Arial" w:hAnsi="Arial"/>
          <w:b w:val="0"/>
          <w:lang w:val="es-ES"/>
        </w:rPr>
      </w:pPr>
      <w:r w:rsidRPr="008A7283">
        <w:rPr>
          <w:rFonts w:ascii="Arial" w:hAnsi="Arial"/>
          <w:b w:val="0"/>
          <w:lang w:val="es-ES"/>
        </w:rPr>
        <w:t>Würth Elektronik : more than you expect !</w:t>
      </w:r>
    </w:p>
    <w:p w14:paraId="2959AC0A" w14:textId="77777777" w:rsidR="00CC1B40" w:rsidRPr="008A7283" w:rsidRDefault="00CC1B40" w:rsidP="00CC1B40">
      <w:pPr>
        <w:pStyle w:val="Textkrper"/>
        <w:spacing w:before="120" w:after="120" w:line="276" w:lineRule="auto"/>
        <w:rPr>
          <w:lang w:val="en-US"/>
        </w:rPr>
      </w:pPr>
      <w:r w:rsidRPr="008A7283">
        <w:rPr>
          <w:rFonts w:ascii="Arial" w:hAnsi="Arial"/>
          <w:lang w:val="en-US"/>
        </w:rPr>
        <w:t xml:space="preserve">Plus </w:t>
      </w:r>
      <w:proofErr w:type="spellStart"/>
      <w:r w:rsidRPr="008A7283">
        <w:rPr>
          <w:rFonts w:ascii="Arial" w:hAnsi="Arial"/>
          <w:lang w:val="en-US"/>
        </w:rPr>
        <w:t>amples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proofErr w:type="gramEnd"/>
      <w:r w:rsidRPr="008A7283">
        <w:rPr>
          <w:rFonts w:ascii="Arial" w:hAnsi="Arial"/>
          <w:lang w:val="en-US"/>
        </w:rPr>
        <w:t xml:space="preserve"> sur le site www.we-online.com</w:t>
      </w: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CC1B40" w:rsidRPr="008A7283" w14:paraId="39665F4F" w14:textId="77777777" w:rsidTr="004A4A2D">
        <w:tc>
          <w:tcPr>
            <w:tcW w:w="3902" w:type="dxa"/>
            <w:shd w:val="clear" w:color="auto" w:fill="auto"/>
            <w:hideMark/>
          </w:tcPr>
          <w:p w14:paraId="7029C1D7" w14:textId="77777777" w:rsidR="00CC1B40" w:rsidRPr="008A7283" w:rsidRDefault="00CC1B40" w:rsidP="004A4A2D">
            <w:pPr>
              <w:pStyle w:val="Textkrper"/>
              <w:autoSpaceDE/>
              <w:adjustRightInd/>
              <w:spacing w:before="120" w:after="120" w:line="276" w:lineRule="auto"/>
              <w:rPr>
                <w:b w:val="0"/>
                <w:bCs w:val="0"/>
                <w:lang w:val="en-US"/>
              </w:rPr>
            </w:pPr>
            <w:r w:rsidRPr="008A7283">
              <w:rPr>
                <w:lang w:val="en-US"/>
              </w:rPr>
              <w:br w:type="page"/>
            </w:r>
            <w:r w:rsidRPr="008A7283">
              <w:rPr>
                <w:b w:val="0"/>
                <w:bCs w:val="0"/>
                <w:lang w:val="en-US"/>
              </w:rPr>
              <w:br w:type="page"/>
            </w:r>
          </w:p>
          <w:p w14:paraId="0CFE3684" w14:textId="77777777" w:rsidR="00CC1B40" w:rsidRPr="008A7283" w:rsidRDefault="00CC1B40" w:rsidP="004A4A2D">
            <w:pPr>
              <w:pStyle w:val="Textkrper"/>
              <w:autoSpaceDE/>
              <w:adjustRightInd/>
              <w:spacing w:before="120" w:after="120" w:line="276" w:lineRule="auto"/>
              <w:rPr>
                <w:rFonts w:ascii="Arial" w:hAnsi="Arial"/>
                <w:bCs w:val="0"/>
                <w:szCs w:val="24"/>
                <w:lang w:val="en-US"/>
              </w:rPr>
            </w:pPr>
            <w:proofErr w:type="spellStart"/>
            <w:r w:rsidRPr="008A7283">
              <w:rPr>
                <w:rFonts w:ascii="Arial" w:hAnsi="Arial"/>
                <w:lang w:val="en-US"/>
              </w:rPr>
              <w:t>Autres</w:t>
            </w:r>
            <w:proofErr w:type="spellEnd"/>
            <w:r w:rsidRPr="008A7283">
              <w:rPr>
                <w:rFonts w:ascii="Arial" w:hAnsi="Arial"/>
                <w:lang w:val="en-US"/>
              </w:rPr>
              <w:t xml:space="preserve"> </w:t>
            </w:r>
            <w:proofErr w:type="spellStart"/>
            <w:proofErr w:type="gramStart"/>
            <w:r w:rsidRPr="008A7283">
              <w:rPr>
                <w:rFonts w:ascii="Arial" w:hAnsi="Arial"/>
                <w:lang w:val="en-US"/>
              </w:rPr>
              <w:t>informations</w:t>
            </w:r>
            <w:proofErr w:type="spellEnd"/>
            <w:r w:rsidRPr="008A7283">
              <w:rPr>
                <w:rFonts w:ascii="Arial" w:hAnsi="Arial"/>
                <w:lang w:val="en-US"/>
              </w:rPr>
              <w:t> :</w:t>
            </w:r>
            <w:proofErr w:type="gramEnd"/>
          </w:p>
          <w:p w14:paraId="0F7E1E87" w14:textId="77777777" w:rsidR="00CC1B40" w:rsidRPr="008A7283" w:rsidRDefault="00CC1B40" w:rsidP="004A4A2D">
            <w:pPr>
              <w:spacing w:before="120" w:after="120" w:line="276" w:lineRule="auto"/>
              <w:rPr>
                <w:rFonts w:ascii="Arial" w:hAnsi="Arial" w:cs="Arial"/>
                <w:sz w:val="20"/>
                <w:lang w:val="en-US"/>
              </w:rPr>
            </w:pPr>
            <w:proofErr w:type="spellStart"/>
            <w:r w:rsidRPr="008A7283">
              <w:rPr>
                <w:rFonts w:ascii="Arial" w:hAnsi="Arial" w:cs="Arial"/>
                <w:sz w:val="20"/>
                <w:lang w:val="en-US"/>
              </w:rPr>
              <w:t>Würth</w:t>
            </w:r>
            <w:proofErr w:type="spellEnd"/>
            <w:r w:rsidRPr="008A7283">
              <w:rPr>
                <w:rFonts w:ascii="Arial" w:hAnsi="Arial" w:cs="Arial"/>
                <w:sz w:val="20"/>
                <w:lang w:val="en-US"/>
              </w:rPr>
              <w:t xml:space="preserve"> </w:t>
            </w:r>
            <w:proofErr w:type="spellStart"/>
            <w:r w:rsidRPr="008A7283">
              <w:rPr>
                <w:rFonts w:ascii="Arial" w:hAnsi="Arial" w:cs="Arial"/>
                <w:sz w:val="20"/>
                <w:lang w:val="en-US"/>
              </w:rPr>
              <w:t>Elektronik</w:t>
            </w:r>
            <w:proofErr w:type="spellEnd"/>
            <w:r w:rsidRPr="008A7283">
              <w:rPr>
                <w:rFonts w:ascii="Arial" w:hAnsi="Arial" w:cs="Arial"/>
                <w:sz w:val="20"/>
                <w:lang w:val="en-US"/>
              </w:rPr>
              <w:t xml:space="preserve"> France</w:t>
            </w:r>
            <w:r w:rsidRPr="008A7283">
              <w:rPr>
                <w:rFonts w:ascii="Arial" w:hAnsi="Arial" w:cs="Arial"/>
                <w:sz w:val="20"/>
                <w:lang w:val="en-US"/>
              </w:rPr>
              <w:br/>
              <w:t xml:space="preserve">Romain </w:t>
            </w:r>
            <w:proofErr w:type="spellStart"/>
            <w:r w:rsidRPr="008A7283">
              <w:rPr>
                <w:rFonts w:ascii="Arial" w:hAnsi="Arial" w:cs="Arial"/>
                <w:sz w:val="20"/>
                <w:lang w:val="en-US"/>
              </w:rPr>
              <w:t>Méjean</w:t>
            </w:r>
            <w:proofErr w:type="spellEnd"/>
            <w:r w:rsidRPr="008A7283">
              <w:rPr>
                <w:rFonts w:ascii="Arial" w:hAnsi="Arial" w:cs="Arial"/>
                <w:sz w:val="20"/>
                <w:lang w:val="en-US"/>
              </w:rPr>
              <w:br/>
              <w:t>1861, Avenue Henri Schneider</w:t>
            </w:r>
            <w:r w:rsidRPr="008A7283">
              <w:rPr>
                <w:rFonts w:ascii="Arial" w:hAnsi="Arial" w:cs="Arial"/>
                <w:sz w:val="20"/>
                <w:lang w:val="en-US"/>
              </w:rPr>
              <w:br/>
              <w:t>CS 70029</w:t>
            </w:r>
            <w:r w:rsidRPr="008A7283">
              <w:rPr>
                <w:rFonts w:ascii="Arial" w:hAnsi="Arial" w:cs="Arial"/>
                <w:sz w:val="20"/>
                <w:lang w:val="en-US"/>
              </w:rPr>
              <w:br/>
              <w:t xml:space="preserve">69881 </w:t>
            </w:r>
            <w:proofErr w:type="spellStart"/>
            <w:r w:rsidRPr="008A7283">
              <w:rPr>
                <w:rFonts w:ascii="Arial" w:hAnsi="Arial" w:cs="Arial"/>
                <w:sz w:val="20"/>
                <w:lang w:val="en-US"/>
              </w:rPr>
              <w:t>Meyzieu</w:t>
            </w:r>
            <w:proofErr w:type="spellEnd"/>
            <w:r w:rsidRPr="008A7283">
              <w:rPr>
                <w:rFonts w:ascii="Arial" w:hAnsi="Arial" w:cs="Arial"/>
                <w:sz w:val="20"/>
                <w:lang w:val="en-US"/>
              </w:rPr>
              <w:t xml:space="preserve"> Cedex</w:t>
            </w:r>
            <w:r w:rsidRPr="008A7283">
              <w:rPr>
                <w:rFonts w:ascii="Arial" w:hAnsi="Arial" w:cs="Arial"/>
                <w:sz w:val="20"/>
                <w:lang w:val="en-US"/>
              </w:rPr>
              <w:br/>
              <w:t>France</w:t>
            </w:r>
          </w:p>
          <w:p w14:paraId="7465D9D6" w14:textId="77777777" w:rsidR="00CC1B40" w:rsidRPr="008A7283" w:rsidRDefault="00CC1B40" w:rsidP="004A4A2D">
            <w:pPr>
              <w:spacing w:before="120" w:after="120" w:line="276" w:lineRule="auto"/>
              <w:rPr>
                <w:rFonts w:ascii="Arial" w:hAnsi="Arial" w:cs="Arial"/>
                <w:sz w:val="20"/>
                <w:lang w:val="en-US"/>
              </w:rPr>
            </w:pPr>
            <w:proofErr w:type="gramStart"/>
            <w:r w:rsidRPr="008A7283">
              <w:rPr>
                <w:rFonts w:ascii="Arial" w:hAnsi="Arial" w:cs="Arial"/>
                <w:sz w:val="20"/>
                <w:lang w:val="en-US"/>
              </w:rPr>
              <w:t>Mob :</w:t>
            </w:r>
            <w:proofErr w:type="gramEnd"/>
            <w:r w:rsidRPr="008A7283">
              <w:rPr>
                <w:rFonts w:ascii="Arial" w:hAnsi="Arial" w:cs="Arial"/>
                <w:sz w:val="20"/>
                <w:lang w:val="en-US"/>
              </w:rPr>
              <w:t xml:space="preserve"> +33 6 75 28 45 24</w:t>
            </w:r>
            <w:r w:rsidRPr="008A7283">
              <w:rPr>
                <w:rFonts w:ascii="Arial" w:hAnsi="Arial" w:cs="Arial"/>
                <w:sz w:val="20"/>
                <w:lang w:val="en-US"/>
              </w:rPr>
              <w:br/>
            </w:r>
            <w:proofErr w:type="spellStart"/>
            <w:r w:rsidRPr="008A7283">
              <w:rPr>
                <w:rFonts w:ascii="Arial" w:hAnsi="Arial" w:cs="Arial"/>
                <w:bCs/>
                <w:sz w:val="20"/>
                <w:lang w:val="en-US"/>
              </w:rPr>
              <w:t>Courriel</w:t>
            </w:r>
            <w:proofErr w:type="spellEnd"/>
            <w:r w:rsidRPr="008A7283">
              <w:rPr>
                <w:rFonts w:ascii="Arial" w:hAnsi="Arial" w:cs="Arial"/>
                <w:bCs/>
                <w:sz w:val="20"/>
                <w:lang w:val="en-US"/>
              </w:rPr>
              <w:t xml:space="preserve"> : </w:t>
            </w:r>
            <w:r w:rsidRPr="008A7283">
              <w:rPr>
                <w:rFonts w:ascii="Arial" w:hAnsi="Arial" w:cs="Arial"/>
                <w:bCs/>
                <w:sz w:val="20"/>
                <w:lang w:val="en-US"/>
              </w:rPr>
              <w:br/>
              <w:t>romain.mejean@we-online.com</w:t>
            </w:r>
          </w:p>
          <w:p w14:paraId="0262DACF" w14:textId="77777777" w:rsidR="00CC1B40" w:rsidRDefault="00CC1B40" w:rsidP="004A4A2D">
            <w:pPr>
              <w:spacing w:before="120" w:after="120" w:line="276" w:lineRule="auto"/>
              <w:rPr>
                <w:rFonts w:ascii="Arial" w:hAnsi="Arial" w:cs="Arial"/>
                <w:bCs/>
                <w:sz w:val="20"/>
              </w:rPr>
            </w:pPr>
            <w:r>
              <w:rPr>
                <w:rFonts w:ascii="Arial" w:hAnsi="Arial" w:cs="Arial"/>
                <w:bCs/>
                <w:sz w:val="20"/>
              </w:rPr>
              <w:t>www.we-online.com</w:t>
            </w:r>
          </w:p>
          <w:p w14:paraId="2570F89D" w14:textId="77777777" w:rsidR="00CC1B40" w:rsidRPr="00591131" w:rsidRDefault="00CC1B40" w:rsidP="004A4A2D">
            <w:pPr>
              <w:rPr>
                <w:rFonts w:ascii="Arial" w:hAnsi="Arial" w:cs="Arial"/>
                <w:sz w:val="20"/>
              </w:rPr>
            </w:pPr>
          </w:p>
          <w:p w14:paraId="79FE6877" w14:textId="77777777" w:rsidR="00CC1B40" w:rsidRPr="00591131" w:rsidRDefault="00CC1B40" w:rsidP="004A4A2D">
            <w:pPr>
              <w:rPr>
                <w:rFonts w:ascii="Arial" w:hAnsi="Arial" w:cs="Arial"/>
                <w:sz w:val="20"/>
              </w:rPr>
            </w:pPr>
          </w:p>
        </w:tc>
        <w:tc>
          <w:tcPr>
            <w:tcW w:w="3193" w:type="dxa"/>
            <w:shd w:val="clear" w:color="auto" w:fill="auto"/>
            <w:hideMark/>
          </w:tcPr>
          <w:p w14:paraId="2FFA8E60" w14:textId="77777777" w:rsidR="00CC1B40" w:rsidRPr="008A7283" w:rsidRDefault="00CC1B40" w:rsidP="004A4A2D">
            <w:pPr>
              <w:pStyle w:val="Textkrper"/>
              <w:tabs>
                <w:tab w:val="left" w:pos="1065"/>
              </w:tabs>
              <w:autoSpaceDE/>
              <w:adjustRightInd/>
              <w:spacing w:before="120" w:after="120" w:line="276" w:lineRule="auto"/>
              <w:rPr>
                <w:rFonts w:ascii="Arial" w:hAnsi="Arial"/>
              </w:rPr>
            </w:pPr>
          </w:p>
          <w:p w14:paraId="3A34B724" w14:textId="77777777" w:rsidR="00CC1B40" w:rsidRPr="008A7283" w:rsidRDefault="00CC1B40" w:rsidP="004A4A2D">
            <w:pPr>
              <w:pStyle w:val="Textkrper"/>
              <w:tabs>
                <w:tab w:val="left" w:pos="1065"/>
              </w:tabs>
              <w:autoSpaceDE/>
              <w:adjustRightInd/>
              <w:spacing w:before="120" w:after="120" w:line="276" w:lineRule="auto"/>
              <w:rPr>
                <w:rFonts w:ascii="Arial" w:hAnsi="Arial"/>
                <w:bCs w:val="0"/>
                <w:szCs w:val="24"/>
              </w:rPr>
            </w:pPr>
            <w:r w:rsidRPr="008A7283">
              <w:rPr>
                <w:rFonts w:ascii="Arial" w:hAnsi="Arial"/>
              </w:rPr>
              <w:t>Contact presse :</w:t>
            </w:r>
          </w:p>
          <w:p w14:paraId="1362B7BF" w14:textId="77777777" w:rsidR="00CC1B40" w:rsidRPr="008A7283" w:rsidRDefault="00CC1B40" w:rsidP="004A4A2D">
            <w:pPr>
              <w:tabs>
                <w:tab w:val="left" w:pos="1065"/>
              </w:tabs>
              <w:spacing w:before="120" w:after="120" w:line="276" w:lineRule="auto"/>
              <w:rPr>
                <w:rFonts w:ascii="Arial" w:hAnsi="Arial" w:cs="Arial"/>
                <w:bCs/>
                <w:sz w:val="20"/>
              </w:rPr>
            </w:pPr>
            <w:r w:rsidRPr="008A7283">
              <w:rPr>
                <w:rFonts w:ascii="Arial" w:hAnsi="Arial"/>
                <w:sz w:val="20"/>
              </w:rPr>
              <w:t>HighTech communications GmbH</w:t>
            </w:r>
            <w:r w:rsidRPr="008A7283">
              <w:br/>
            </w:r>
            <w:r w:rsidRPr="008A7283">
              <w:rPr>
                <w:rFonts w:ascii="Arial" w:hAnsi="Arial"/>
                <w:sz w:val="20"/>
              </w:rPr>
              <w:t>Brigitte Basilio</w:t>
            </w:r>
            <w:r w:rsidRPr="008A7283">
              <w:br/>
            </w:r>
            <w:proofErr w:type="spellStart"/>
            <w:r w:rsidRPr="008A7283">
              <w:rPr>
                <w:rFonts w:ascii="Arial" w:hAnsi="Arial"/>
                <w:sz w:val="20"/>
              </w:rPr>
              <w:t>Brunhamstrasse</w:t>
            </w:r>
            <w:proofErr w:type="spellEnd"/>
            <w:r w:rsidRPr="008A7283">
              <w:rPr>
                <w:rFonts w:ascii="Arial" w:hAnsi="Arial"/>
                <w:sz w:val="20"/>
              </w:rPr>
              <w:t xml:space="preserve"> 21</w:t>
            </w:r>
            <w:r w:rsidRPr="008A7283">
              <w:br/>
            </w:r>
            <w:r w:rsidRPr="008A7283">
              <w:rPr>
                <w:rFonts w:ascii="Arial" w:hAnsi="Arial"/>
                <w:sz w:val="20"/>
              </w:rPr>
              <w:t xml:space="preserve">81249 </w:t>
            </w:r>
            <w:proofErr w:type="spellStart"/>
            <w:r w:rsidRPr="008A7283">
              <w:rPr>
                <w:rFonts w:ascii="Arial" w:hAnsi="Arial"/>
                <w:sz w:val="20"/>
              </w:rPr>
              <w:t>München</w:t>
            </w:r>
            <w:proofErr w:type="spellEnd"/>
            <w:r w:rsidRPr="008A7283">
              <w:rPr>
                <w:rFonts w:ascii="Arial" w:hAnsi="Arial"/>
                <w:sz w:val="20"/>
              </w:rPr>
              <w:br/>
              <w:t>Allemagne</w:t>
            </w:r>
          </w:p>
          <w:p w14:paraId="4D2FE1CB" w14:textId="77777777" w:rsidR="00CC1B40" w:rsidRPr="008A7283" w:rsidRDefault="00CC1B40" w:rsidP="004A4A2D">
            <w:pPr>
              <w:tabs>
                <w:tab w:val="left" w:pos="1065"/>
              </w:tabs>
              <w:spacing w:before="120" w:after="120" w:line="276" w:lineRule="auto"/>
              <w:rPr>
                <w:rFonts w:ascii="Arial" w:hAnsi="Arial" w:cs="Arial"/>
                <w:bCs/>
                <w:sz w:val="20"/>
              </w:rPr>
            </w:pPr>
            <w:r w:rsidRPr="008A7283">
              <w:rPr>
                <w:rFonts w:ascii="Arial" w:hAnsi="Arial"/>
                <w:sz w:val="20"/>
              </w:rPr>
              <w:t>Tél : +49 89 500778-20</w:t>
            </w:r>
            <w:r w:rsidRPr="008A7283">
              <w:br/>
            </w:r>
            <w:r w:rsidRPr="008A7283">
              <w:rPr>
                <w:rFonts w:ascii="Arial" w:hAnsi="Arial"/>
                <w:sz w:val="20"/>
              </w:rPr>
              <w:t xml:space="preserve">Fax : +49 89 500778-77 </w:t>
            </w:r>
            <w:r w:rsidRPr="008A7283">
              <w:br/>
            </w:r>
            <w:r w:rsidRPr="008A7283">
              <w:rPr>
                <w:rFonts w:ascii="Arial" w:hAnsi="Arial"/>
                <w:sz w:val="20"/>
              </w:rPr>
              <w:t xml:space="preserve">Courriel : </w:t>
            </w:r>
            <w:r w:rsidRPr="008A7283">
              <w:rPr>
                <w:rFonts w:ascii="Arial" w:hAnsi="Arial"/>
                <w:sz w:val="20"/>
              </w:rPr>
              <w:br/>
              <w:t>b.basilio@htcm.de</w:t>
            </w:r>
          </w:p>
          <w:p w14:paraId="40F6068E" w14:textId="77777777" w:rsidR="00CC1B40" w:rsidRPr="00591131" w:rsidRDefault="00CC1B40" w:rsidP="004A4A2D">
            <w:pPr>
              <w:tabs>
                <w:tab w:val="left" w:pos="1065"/>
              </w:tabs>
              <w:spacing w:before="120" w:after="120" w:line="276" w:lineRule="auto"/>
              <w:rPr>
                <w:rFonts w:ascii="Arial" w:hAnsi="Arial" w:cs="Arial"/>
                <w:bCs/>
                <w:sz w:val="20"/>
              </w:rPr>
            </w:pPr>
            <w:r w:rsidRPr="008A7283">
              <w:rPr>
                <w:rFonts w:ascii="Arial" w:hAnsi="Arial"/>
                <w:sz w:val="20"/>
              </w:rPr>
              <w:t xml:space="preserve">www.htcm.de </w:t>
            </w:r>
          </w:p>
        </w:tc>
      </w:tr>
    </w:tbl>
    <w:p w14:paraId="44E25674" w14:textId="77777777" w:rsidR="00CC1B40" w:rsidRDefault="00CC1B40">
      <w:pPr>
        <w:pStyle w:val="PITextkrper"/>
        <w:rPr>
          <w:b/>
          <w:bCs/>
          <w:sz w:val="18"/>
          <w:szCs w:val="18"/>
        </w:rPr>
      </w:pPr>
    </w:p>
    <w:sectPr w:rsidR="00CC1B40">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CE11" w14:textId="77777777" w:rsidR="005678BA" w:rsidRDefault="00CC1B40">
      <w:r>
        <w:separator/>
      </w:r>
    </w:p>
  </w:endnote>
  <w:endnote w:type="continuationSeparator" w:id="0">
    <w:p w14:paraId="53E2A1EA" w14:textId="77777777" w:rsidR="005678BA" w:rsidRDefault="00CC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1515D" w14:textId="77777777" w:rsidR="005678BA" w:rsidRDefault="00CC1B40">
    <w:pPr>
      <w:pStyle w:val="Fuzeile"/>
      <w:tabs>
        <w:tab w:val="clear" w:pos="4536"/>
        <w:tab w:val="clear" w:pos="9072"/>
        <w:tab w:val="right" w:pos="7088"/>
      </w:tabs>
      <w:rPr>
        <w:rFonts w:ascii="Arial" w:hAnsi="Arial" w:cs="Arial"/>
        <w:noProof/>
        <w:snapToGrid w:val="0"/>
        <w:sz w:val="16"/>
        <w:szCs w:val="16"/>
        <w:lang w:val="de-DE"/>
      </w:rPr>
    </w:pPr>
    <w:r>
      <w:rPr>
        <w:rFonts w:ascii="Arial" w:hAnsi="Arial" w:cs="Arial"/>
        <w:snapToGrid w:val="0"/>
        <w:sz w:val="16"/>
      </w:rPr>
      <w:fldChar w:fldCharType="begin"/>
    </w:r>
    <w:r>
      <w:rPr>
        <w:rFonts w:ascii="Arial" w:hAnsi="Arial" w:cs="Arial"/>
        <w:snapToGrid w:val="0"/>
        <w:sz w:val="16"/>
        <w:lang w:val="de-DE"/>
      </w:rPr>
      <w:instrText xml:space="preserve"> FILENAME  \* MERGEFORMAT </w:instrText>
    </w:r>
    <w:r>
      <w:rPr>
        <w:rFonts w:ascii="Arial" w:hAnsi="Arial" w:cs="Arial"/>
        <w:snapToGrid w:val="0"/>
        <w:sz w:val="16"/>
      </w:rPr>
      <w:fldChar w:fldCharType="separate"/>
    </w:r>
    <w:r>
      <w:rPr>
        <w:rFonts w:ascii="Arial" w:hAnsi="Arial" w:cs="Arial"/>
        <w:noProof/>
        <w:snapToGrid w:val="0"/>
        <w:sz w:val="16"/>
        <w:lang w:val="de-DE"/>
      </w:rPr>
      <w:t>WTH1PI1128_fr.docx</w:t>
    </w:r>
    <w:r>
      <w:rPr>
        <w:rFonts w:ascii="Arial" w:hAnsi="Arial" w:cs="Arial"/>
        <w:snapToGrid w:val="0"/>
        <w:sz w:val="16"/>
      </w:rPr>
      <w:fldChar w:fldCharType="end"/>
    </w:r>
    <w:r>
      <w:rPr>
        <w:rFonts w:ascii="Arial" w:hAnsi="Arial"/>
        <w:snapToGrid w:val="0"/>
        <w:sz w:val="16"/>
        <w:lang w:val="de-D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5E1D6" w14:textId="77777777" w:rsidR="005678BA" w:rsidRDefault="00CC1B40">
      <w:r>
        <w:separator/>
      </w:r>
    </w:p>
  </w:footnote>
  <w:footnote w:type="continuationSeparator" w:id="0">
    <w:p w14:paraId="0775427F" w14:textId="77777777" w:rsidR="005678BA" w:rsidRDefault="00CC1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E8EE" w14:textId="77777777" w:rsidR="005678BA" w:rsidRDefault="00CC1B40">
    <w:pPr>
      <w:pStyle w:val="Kopfzeile"/>
      <w:tabs>
        <w:tab w:val="clear" w:pos="9072"/>
        <w:tab w:val="right" w:pos="9498"/>
      </w:tabs>
    </w:pPr>
    <w:r>
      <w:rPr>
        <w:noProof/>
        <w:lang w:val="en-US" w:eastAsia="zh-CN"/>
      </w:rPr>
      <w:drawing>
        <wp:anchor distT="0" distB="0" distL="114300" distR="114300" simplePos="0" relativeHeight="251657728" behindDoc="1" locked="0" layoutInCell="0" allowOverlap="1" wp14:anchorId="5BBB19C8" wp14:editId="33D90099">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034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activeWritingStyle w:appName="MSWord" w:lang="fr-FR"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8BA"/>
    <w:rsid w:val="00173E36"/>
    <w:rsid w:val="005678BA"/>
    <w:rsid w:val="00920C04"/>
    <w:rsid w:val="00CC1B4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F0A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fr-FR"/>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1">
    <w:name w:val="BesuchterHyperlink1"/>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fr-FR"/>
    </w:rPr>
  </w:style>
  <w:style w:type="character" w:customStyle="1" w:styleId="NichtaufgelsteErwhnung1">
    <w:name w:val="Nicht aufgelöste Erwähnung1"/>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22461425">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e-online.com/ANP101" TargetMode="Externa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k.htcm.de/press-releases/wuerth/"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we-online.com/ANP10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e-online.com/web/en/electronic_components/produkte_pb/produktinnovationen/redexpert.php" TargetMode="Externa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FDD7A-FB3E-4246-863C-55BB2774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4469</Characters>
  <DocSecurity>0</DocSecurity>
  <Lines>37</Lines>
  <Paragraphs>10</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5128</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2022-10-19T10:48:00Z</dcterms:created>
  <dcterms:modified xsi:type="dcterms:W3CDTF">2022-10-19T10:51:00Z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